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45" w:rsidRDefault="00B10F3E" w:rsidP="00B10F3E">
      <w:pPr>
        <w:shd w:val="clear" w:color="auto" w:fill="C00000"/>
        <w:autoSpaceDE w:val="0"/>
        <w:autoSpaceDN w:val="0"/>
        <w:adjustRightInd w:val="0"/>
        <w:spacing w:after="0" w:line="240" w:lineRule="auto"/>
        <w:rPr>
          <w:rFonts w:cs="TTE15ED650t00"/>
          <w:b/>
          <w:sz w:val="28"/>
          <w:szCs w:val="28"/>
        </w:rPr>
      </w:pPr>
      <w:r>
        <w:rPr>
          <w:rFonts w:cs="TTE15ED650t00"/>
          <w:b/>
          <w:sz w:val="28"/>
          <w:szCs w:val="28"/>
        </w:rPr>
        <w:t xml:space="preserve">SCHEDA : </w:t>
      </w:r>
    </w:p>
    <w:p w:rsidR="00B10F3E" w:rsidRDefault="00B10F3E" w:rsidP="008E4145">
      <w:pPr>
        <w:autoSpaceDE w:val="0"/>
        <w:autoSpaceDN w:val="0"/>
        <w:adjustRightInd w:val="0"/>
        <w:spacing w:after="0" w:line="240" w:lineRule="auto"/>
        <w:rPr>
          <w:rFonts w:cs="TTE15ED650t00"/>
          <w:b/>
          <w:sz w:val="28"/>
          <w:szCs w:val="28"/>
        </w:rPr>
      </w:pPr>
    </w:p>
    <w:p w:rsidR="008E4145" w:rsidRPr="000C5D23" w:rsidRDefault="008E4145" w:rsidP="008E4145">
      <w:pPr>
        <w:autoSpaceDE w:val="0"/>
        <w:autoSpaceDN w:val="0"/>
        <w:adjustRightInd w:val="0"/>
        <w:spacing w:after="0" w:line="240" w:lineRule="auto"/>
        <w:rPr>
          <w:rFonts w:cs="TTE15ED650t00"/>
          <w:b/>
          <w:sz w:val="28"/>
          <w:szCs w:val="28"/>
        </w:rPr>
      </w:pPr>
      <w:r w:rsidRPr="000C5D23">
        <w:rPr>
          <w:rFonts w:cs="TTE15ED650t00"/>
          <w:b/>
          <w:sz w:val="28"/>
          <w:szCs w:val="28"/>
        </w:rPr>
        <w:t>OPERA PROVVISIONALE</w:t>
      </w:r>
      <w:r>
        <w:rPr>
          <w:rFonts w:cs="TTE15ED650t00"/>
          <w:b/>
          <w:sz w:val="28"/>
          <w:szCs w:val="28"/>
        </w:rPr>
        <w:t>: Ponte  s</w:t>
      </w:r>
      <w:r w:rsidRPr="000C5D23">
        <w:rPr>
          <w:rFonts w:cs="TTE15ED650t00"/>
          <w:b/>
          <w:sz w:val="28"/>
          <w:szCs w:val="28"/>
        </w:rPr>
        <w:t>u Cavalletti</w:t>
      </w:r>
    </w:p>
    <w:p w:rsidR="008E4145" w:rsidRDefault="008E4145" w:rsidP="008E4145">
      <w:pPr>
        <w:autoSpaceDE w:val="0"/>
        <w:autoSpaceDN w:val="0"/>
        <w:adjustRightInd w:val="0"/>
        <w:spacing w:after="0"/>
        <w:rPr>
          <w:rFonts w:cs="TTE1C25C08t00"/>
        </w:rPr>
      </w:pPr>
    </w:p>
    <w:tbl>
      <w:tblPr>
        <w:tblpPr w:leftFromText="141" w:rightFromText="141" w:vertAnchor="text" w:tblpX="5771" w:tblpY="76"/>
        <w:tblW w:w="0" w:type="auto"/>
        <w:tblCellMar>
          <w:left w:w="70" w:type="dxa"/>
          <w:right w:w="70" w:type="dxa"/>
        </w:tblCellMar>
        <w:tblLook w:val="0000"/>
      </w:tblPr>
      <w:tblGrid>
        <w:gridCol w:w="3330"/>
      </w:tblGrid>
      <w:tr w:rsidR="008E4145" w:rsidTr="000D4997">
        <w:trPr>
          <w:trHeight w:val="2610"/>
        </w:trPr>
        <w:tc>
          <w:tcPr>
            <w:tcW w:w="3330" w:type="dxa"/>
          </w:tcPr>
          <w:p w:rsidR="008E4145" w:rsidRDefault="008E4145" w:rsidP="000D4997">
            <w:pPr>
              <w:autoSpaceDE w:val="0"/>
              <w:autoSpaceDN w:val="0"/>
              <w:adjustRightInd w:val="0"/>
              <w:spacing w:after="0"/>
              <w:rPr>
                <w:rFonts w:cs="TTE1C25C08t00"/>
              </w:rPr>
            </w:pPr>
            <w:r>
              <w:object w:dxaOrig="2160" w:dyaOrig="2160">
                <v:shape id="_x0000_i1025" type="#_x0000_t75" style="width:2in;height:131.25pt" o:ole="">
                  <v:imagedata r:id="rId7" o:title=""/>
                </v:shape>
                <o:OLEObject Type="Embed" ProgID="PBrush" ShapeID="_x0000_i1025" DrawAspect="Content" ObjectID="_1144711675" r:id="rId8"/>
              </w:object>
            </w:r>
          </w:p>
        </w:tc>
      </w:tr>
    </w:tbl>
    <w:p w:rsidR="008E4145" w:rsidRPr="000C5D23" w:rsidRDefault="008E4145" w:rsidP="00036DA6">
      <w:p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0C5D23">
        <w:rPr>
          <w:rFonts w:cs="TTE1C25C08t00"/>
        </w:rPr>
        <w:t>Il ponte su cavalletti è costituito da un impalcato di assi in</w:t>
      </w:r>
      <w:r>
        <w:rPr>
          <w:rFonts w:cs="TTE1C25C08t00"/>
        </w:rPr>
        <w:t xml:space="preserve">                                                                                                                    </w:t>
      </w:r>
      <w:r w:rsidRPr="000C5D23">
        <w:rPr>
          <w:rFonts w:cs="TTE1C25C08t00"/>
        </w:rPr>
        <w:t xml:space="preserve"> legno </w:t>
      </w:r>
      <w:r>
        <w:rPr>
          <w:rFonts w:cs="TTE1C25C08t00"/>
        </w:rPr>
        <w:t xml:space="preserve">  </w:t>
      </w:r>
      <w:r w:rsidRPr="000C5D23">
        <w:rPr>
          <w:rFonts w:cs="TTE1C25C08t00"/>
        </w:rPr>
        <w:t>di</w:t>
      </w:r>
      <w:r>
        <w:rPr>
          <w:rFonts w:cs="TTE1C25C08t00"/>
        </w:rPr>
        <w:t xml:space="preserve"> </w:t>
      </w:r>
      <w:r w:rsidRPr="000C5D23">
        <w:rPr>
          <w:rFonts w:cs="TTE1C25C08t00"/>
        </w:rPr>
        <w:t xml:space="preserve"> dimensioni </w:t>
      </w:r>
      <w:r>
        <w:rPr>
          <w:rFonts w:cs="TTE1C25C08t00"/>
        </w:rPr>
        <w:t xml:space="preserve"> </w:t>
      </w:r>
      <w:r w:rsidRPr="000C5D23">
        <w:rPr>
          <w:rFonts w:cs="TTE1C25C08t00"/>
        </w:rPr>
        <w:t>adeguate,</w:t>
      </w:r>
      <w:r>
        <w:rPr>
          <w:rFonts w:cs="TTE1C25C08t00"/>
        </w:rPr>
        <w:t xml:space="preserve"> </w:t>
      </w:r>
      <w:r w:rsidRPr="000C5D23">
        <w:rPr>
          <w:rFonts w:cs="TTE1C25C08t00"/>
        </w:rPr>
        <w:t>sostenuto</w:t>
      </w:r>
      <w:r>
        <w:rPr>
          <w:rFonts w:cs="TTE1C25C08t00"/>
        </w:rPr>
        <w:t xml:space="preserve"> </w:t>
      </w:r>
      <w:r w:rsidRPr="000C5D23">
        <w:rPr>
          <w:rFonts w:cs="TTE1C25C08t00"/>
        </w:rPr>
        <w:t xml:space="preserve"> da </w:t>
      </w:r>
      <w:r>
        <w:rPr>
          <w:rFonts w:cs="TTE1C25C08t00"/>
        </w:rPr>
        <w:t xml:space="preserve"> </w:t>
      </w:r>
      <w:r w:rsidRPr="000C5D23">
        <w:rPr>
          <w:rFonts w:cs="TTE1C25C08t00"/>
        </w:rPr>
        <w:t xml:space="preserve">cavalletti </w:t>
      </w:r>
      <w:r>
        <w:rPr>
          <w:rFonts w:cs="TTE1C25C08t00"/>
        </w:rPr>
        <w:t xml:space="preserve">                                                                                                            </w:t>
      </w:r>
      <w:r w:rsidRPr="000C5D23">
        <w:rPr>
          <w:rFonts w:cs="TTE1C25C08t00"/>
        </w:rPr>
        <w:t>solitamente</w:t>
      </w:r>
      <w:r>
        <w:rPr>
          <w:rFonts w:cs="TTE1C25C08t00"/>
        </w:rPr>
        <w:t xml:space="preserve"> </w:t>
      </w:r>
      <w:r w:rsidRPr="000C5D23">
        <w:rPr>
          <w:rFonts w:cs="TTE1C25C08t00"/>
        </w:rPr>
        <w:t xml:space="preserve"> metallici, </w:t>
      </w:r>
      <w:r>
        <w:rPr>
          <w:rFonts w:cs="TTE1C25C08t00"/>
        </w:rPr>
        <w:t xml:space="preserve"> </w:t>
      </w:r>
      <w:r w:rsidRPr="000C5D23">
        <w:rPr>
          <w:rFonts w:cs="TTE1C25C08t00"/>
        </w:rPr>
        <w:t>posti a distanze prefissate.</w:t>
      </w:r>
    </w:p>
    <w:p w:rsidR="008E4145" w:rsidRDefault="008E4145" w:rsidP="00036DA6">
      <w:p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0C5D23">
        <w:rPr>
          <w:rFonts w:cs="TTE1C25C08t00"/>
        </w:rPr>
        <w:t xml:space="preserve">La sua utilizzazione riguarda, solitamente, lavori all'interno </w:t>
      </w:r>
      <w:r>
        <w:rPr>
          <w:rFonts w:cs="TTE1C25C08t00"/>
        </w:rPr>
        <w:t xml:space="preserve">                                                                                                                    </w:t>
      </w:r>
    </w:p>
    <w:p w:rsidR="008E4145" w:rsidRDefault="008E4145" w:rsidP="00036DA6">
      <w:p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0C5D23">
        <w:rPr>
          <w:rFonts w:cs="TTE1C25C08t00"/>
        </w:rPr>
        <w:t>di edifici, dove a causa delle ridotte</w:t>
      </w:r>
      <w:r>
        <w:rPr>
          <w:rFonts w:cs="TTE1C25C08t00"/>
        </w:rPr>
        <w:t xml:space="preserve"> </w:t>
      </w:r>
      <w:r w:rsidRPr="000C5D23">
        <w:rPr>
          <w:rFonts w:cs="TTE1C25C08t00"/>
        </w:rPr>
        <w:t xml:space="preserve">altezze e della brevità </w:t>
      </w:r>
    </w:p>
    <w:p w:rsidR="008E4145" w:rsidRDefault="008E4145" w:rsidP="00036DA6">
      <w:p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0C5D23">
        <w:rPr>
          <w:rFonts w:cs="TTE1C25C08t00"/>
        </w:rPr>
        <w:t>dei lavori da eseguire, non è consigliabile il montaggio di un</w:t>
      </w:r>
    </w:p>
    <w:p w:rsidR="008E4145" w:rsidRPr="000C5D23" w:rsidRDefault="008E4145" w:rsidP="00036DA6">
      <w:p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0C5D23">
        <w:rPr>
          <w:rFonts w:cs="TTE1C25C08t00"/>
        </w:rPr>
        <w:t xml:space="preserve"> ponteggio</w:t>
      </w:r>
      <w:r>
        <w:rPr>
          <w:rFonts w:cs="TTE1C25C08t00"/>
        </w:rPr>
        <w:t xml:space="preserve"> </w:t>
      </w:r>
      <w:r w:rsidRPr="000C5D23">
        <w:rPr>
          <w:rFonts w:cs="TTE1C25C08t00"/>
        </w:rPr>
        <w:t>metallico fisso.</w:t>
      </w:r>
    </w:p>
    <w:p w:rsidR="008E4145" w:rsidRPr="00B075D5" w:rsidRDefault="008E4145" w:rsidP="008E4145">
      <w:pPr>
        <w:autoSpaceDE w:val="0"/>
        <w:autoSpaceDN w:val="0"/>
        <w:adjustRightInd w:val="0"/>
        <w:spacing w:after="0"/>
        <w:rPr>
          <w:rFonts w:cs="Verdana"/>
          <w:color w:val="000000"/>
        </w:rPr>
      </w:pPr>
      <w:r w:rsidRPr="000C5D23">
        <w:rPr>
          <w:rFonts w:cs="TTE1C25C08t00"/>
        </w:rPr>
        <w:t xml:space="preserve">                                                                                                                                          </w:t>
      </w:r>
    </w:p>
    <w:p w:rsidR="008E4145" w:rsidRDefault="008E4145" w:rsidP="008E4145">
      <w:pPr>
        <w:autoSpaceDE w:val="0"/>
        <w:autoSpaceDN w:val="0"/>
        <w:adjustRightInd w:val="0"/>
        <w:spacing w:after="0" w:line="240" w:lineRule="auto"/>
        <w:rPr>
          <w:rFonts w:ascii="TTE1008968t00" w:hAnsi="TTE1008968t00" w:cs="TTE1008968t00"/>
          <w:sz w:val="23"/>
          <w:szCs w:val="23"/>
        </w:rPr>
      </w:pPr>
    </w:p>
    <w:p w:rsidR="008E4145" w:rsidRPr="00F25133" w:rsidRDefault="008E4145" w:rsidP="008E4145">
      <w:pPr>
        <w:autoSpaceDE w:val="0"/>
        <w:autoSpaceDN w:val="0"/>
        <w:adjustRightInd w:val="0"/>
        <w:rPr>
          <w:rFonts w:cs="Verdana"/>
          <w:b/>
          <w:bCs/>
          <w:color w:val="000000"/>
          <w:sz w:val="24"/>
          <w:szCs w:val="24"/>
        </w:rPr>
      </w:pPr>
      <w:r w:rsidRPr="00F25133">
        <w:rPr>
          <w:rFonts w:cs="Verdana"/>
          <w:b/>
          <w:bCs/>
          <w:color w:val="000000"/>
          <w:sz w:val="24"/>
          <w:szCs w:val="24"/>
        </w:rPr>
        <w:t>VALUTAZIONE E CLASSIFICAZIONE DEI RISCHI</w:t>
      </w:r>
    </w:p>
    <w:tbl>
      <w:tblPr>
        <w:tblStyle w:val="Grigliatabella"/>
        <w:tblW w:w="0" w:type="auto"/>
        <w:tblLook w:val="04A0"/>
      </w:tblPr>
      <w:tblGrid>
        <w:gridCol w:w="2624"/>
        <w:gridCol w:w="2407"/>
        <w:gridCol w:w="2412"/>
        <w:gridCol w:w="2411"/>
      </w:tblGrid>
      <w:tr w:rsidR="008E4145" w:rsidRPr="00480731" w:rsidTr="000D4997">
        <w:tc>
          <w:tcPr>
            <w:tcW w:w="2624" w:type="dxa"/>
            <w:shd w:val="clear" w:color="auto" w:fill="FFC000"/>
          </w:tcPr>
          <w:p w:rsidR="008E4145" w:rsidRPr="00480731" w:rsidRDefault="008E4145" w:rsidP="000D4997">
            <w:pPr>
              <w:rPr>
                <w:b/>
                <w:sz w:val="24"/>
                <w:szCs w:val="24"/>
              </w:rPr>
            </w:pPr>
            <w:r w:rsidRPr="00480731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2407" w:type="dxa"/>
            <w:shd w:val="clear" w:color="auto" w:fill="FFC000"/>
          </w:tcPr>
          <w:p w:rsidR="008E4145" w:rsidRDefault="008E4145" w:rsidP="000D4997">
            <w:pPr>
              <w:rPr>
                <w:b/>
                <w:sz w:val="24"/>
                <w:szCs w:val="24"/>
              </w:rPr>
            </w:pPr>
            <w:r w:rsidRPr="00480731">
              <w:rPr>
                <w:b/>
                <w:sz w:val="24"/>
                <w:szCs w:val="24"/>
              </w:rPr>
              <w:t>Liv. Probalità</w:t>
            </w:r>
          </w:p>
          <w:p w:rsidR="008E4145" w:rsidRPr="0093061F" w:rsidRDefault="008E4145" w:rsidP="000D4997">
            <w:pPr>
              <w:rPr>
                <w:b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FFC000"/>
          </w:tcPr>
          <w:p w:rsidR="008E4145" w:rsidRPr="00480731" w:rsidRDefault="008E4145" w:rsidP="000D4997">
            <w:pPr>
              <w:rPr>
                <w:b/>
                <w:sz w:val="24"/>
                <w:szCs w:val="24"/>
              </w:rPr>
            </w:pPr>
            <w:r w:rsidRPr="00480731">
              <w:rPr>
                <w:b/>
                <w:sz w:val="24"/>
                <w:szCs w:val="24"/>
              </w:rPr>
              <w:t>Entità danno</w:t>
            </w:r>
          </w:p>
        </w:tc>
        <w:tc>
          <w:tcPr>
            <w:tcW w:w="2411" w:type="dxa"/>
            <w:shd w:val="clear" w:color="auto" w:fill="FFC000"/>
          </w:tcPr>
          <w:p w:rsidR="008E4145" w:rsidRPr="00480731" w:rsidRDefault="008E4145" w:rsidP="000D4997">
            <w:pPr>
              <w:rPr>
                <w:b/>
                <w:sz w:val="24"/>
                <w:szCs w:val="24"/>
              </w:rPr>
            </w:pPr>
            <w:r w:rsidRPr="00480731">
              <w:rPr>
                <w:b/>
                <w:sz w:val="24"/>
                <w:szCs w:val="24"/>
              </w:rPr>
              <w:t>Classe</w:t>
            </w:r>
          </w:p>
        </w:tc>
      </w:tr>
      <w:tr w:rsidR="008E4145" w:rsidRPr="0093061F" w:rsidTr="000D4997">
        <w:tc>
          <w:tcPr>
            <w:tcW w:w="2624" w:type="dxa"/>
          </w:tcPr>
          <w:p w:rsidR="008E4145" w:rsidRPr="000C5D23" w:rsidRDefault="008E4145" w:rsidP="000D499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0C5D23">
              <w:rPr>
                <w:rFonts w:cs="TTE1C25C08t00"/>
                <w:sz w:val="19"/>
                <w:szCs w:val="19"/>
              </w:rPr>
              <w:t>Caduta dall'alto degli utilizzatori dovuta</w:t>
            </w:r>
            <w:r>
              <w:rPr>
                <w:rFonts w:cs="TTE1C25C08t00"/>
                <w:sz w:val="19"/>
                <w:szCs w:val="19"/>
              </w:rPr>
              <w:t xml:space="preserve"> </w:t>
            </w:r>
            <w:r w:rsidRPr="000C5D23">
              <w:rPr>
                <w:rFonts w:cs="TTE1C25C08t00"/>
                <w:sz w:val="19"/>
                <w:szCs w:val="19"/>
              </w:rPr>
              <w:t>a cedimento della base di appoggio,</w:t>
            </w:r>
          </w:p>
          <w:p w:rsidR="008E4145" w:rsidRPr="000C5D23" w:rsidRDefault="008E4145" w:rsidP="000D499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 w:rsidRPr="000C5D23">
              <w:rPr>
                <w:rFonts w:cs="TTE1C25C08t00"/>
                <w:sz w:val="19"/>
                <w:szCs w:val="19"/>
              </w:rPr>
              <w:t>cedimento o mancanza dei parapetti,</w:t>
            </w:r>
            <w:r>
              <w:rPr>
                <w:rFonts w:cs="TTE1C25C08t00"/>
                <w:sz w:val="19"/>
                <w:szCs w:val="19"/>
              </w:rPr>
              <w:t xml:space="preserve"> </w:t>
            </w:r>
            <w:r w:rsidRPr="000C5D23">
              <w:rPr>
                <w:rFonts w:cs="TTE1C25C08t00"/>
                <w:sz w:val="19"/>
                <w:szCs w:val="19"/>
              </w:rPr>
              <w:t>rottura delle tavole dell'impalcato</w:t>
            </w:r>
          </w:p>
        </w:tc>
        <w:tc>
          <w:tcPr>
            <w:tcW w:w="2407" w:type="dxa"/>
          </w:tcPr>
          <w:p w:rsidR="008E4145" w:rsidRPr="00EB6770" w:rsidRDefault="008E4145" w:rsidP="000D4997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Probabile</w:t>
            </w:r>
          </w:p>
          <w:p w:rsidR="008E4145" w:rsidRPr="00EB6770" w:rsidRDefault="008E4145" w:rsidP="000D4997">
            <w:pPr>
              <w:jc w:val="both"/>
            </w:pPr>
          </w:p>
        </w:tc>
        <w:tc>
          <w:tcPr>
            <w:tcW w:w="2412" w:type="dxa"/>
          </w:tcPr>
          <w:p w:rsidR="008E4145" w:rsidRPr="00EB6770" w:rsidRDefault="008E4145" w:rsidP="000D4997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Significativo</w:t>
            </w:r>
          </w:p>
          <w:p w:rsidR="008E4145" w:rsidRPr="00EB6770" w:rsidRDefault="008E4145" w:rsidP="000D4997">
            <w:pPr>
              <w:jc w:val="both"/>
              <w:rPr>
                <w:rFonts w:cs="Verdana"/>
                <w:color w:val="000000"/>
              </w:rPr>
            </w:pPr>
          </w:p>
        </w:tc>
        <w:tc>
          <w:tcPr>
            <w:tcW w:w="2411" w:type="dxa"/>
          </w:tcPr>
          <w:p w:rsidR="008E4145" w:rsidRPr="00EB6770" w:rsidRDefault="008E4145" w:rsidP="000D4997">
            <w:pPr>
              <w:jc w:val="both"/>
              <w:rPr>
                <w:rFonts w:cs="Verdana"/>
                <w:b/>
                <w:bCs/>
                <w:color w:val="000000"/>
              </w:rPr>
            </w:pPr>
            <w:r w:rsidRPr="00EB6770">
              <w:rPr>
                <w:rFonts w:cs="Verdana"/>
                <w:b/>
                <w:bCs/>
                <w:color w:val="000000"/>
              </w:rPr>
              <w:t>Notevole</w:t>
            </w:r>
          </w:p>
          <w:p w:rsidR="008E4145" w:rsidRPr="00EB6770" w:rsidRDefault="008E4145" w:rsidP="000D4997">
            <w:pPr>
              <w:jc w:val="both"/>
              <w:rPr>
                <w:rFonts w:cs="Verdana"/>
                <w:b/>
                <w:bCs/>
                <w:color w:val="000000"/>
              </w:rPr>
            </w:pPr>
          </w:p>
        </w:tc>
      </w:tr>
      <w:tr w:rsidR="008E4145" w:rsidRPr="0093061F" w:rsidTr="000D4997">
        <w:tc>
          <w:tcPr>
            <w:tcW w:w="2624" w:type="dxa"/>
          </w:tcPr>
          <w:p w:rsidR="008E4145" w:rsidRPr="000C5D23" w:rsidRDefault="008E4145" w:rsidP="000D4997">
            <w:pPr>
              <w:rPr>
                <w:sz w:val="20"/>
                <w:szCs w:val="20"/>
              </w:rPr>
            </w:pPr>
            <w:r w:rsidRPr="000C5D23">
              <w:rPr>
                <w:rFonts w:cs="TTE1C25C08t00"/>
                <w:sz w:val="19"/>
                <w:szCs w:val="19"/>
              </w:rPr>
              <w:t>Caduta di materiali dall’alto</w:t>
            </w:r>
          </w:p>
        </w:tc>
        <w:tc>
          <w:tcPr>
            <w:tcW w:w="2407" w:type="dxa"/>
          </w:tcPr>
          <w:p w:rsidR="008E4145" w:rsidRPr="00EB6770" w:rsidRDefault="008E4145" w:rsidP="000D4997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Probabile</w:t>
            </w:r>
          </w:p>
          <w:p w:rsidR="008E4145" w:rsidRPr="00EB6770" w:rsidRDefault="008E4145" w:rsidP="000D4997">
            <w:pPr>
              <w:jc w:val="both"/>
            </w:pPr>
          </w:p>
        </w:tc>
        <w:tc>
          <w:tcPr>
            <w:tcW w:w="2412" w:type="dxa"/>
          </w:tcPr>
          <w:p w:rsidR="008E4145" w:rsidRPr="00EB6770" w:rsidRDefault="008E4145" w:rsidP="000D4997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Significativo</w:t>
            </w:r>
          </w:p>
          <w:p w:rsidR="008E4145" w:rsidRPr="00EB6770" w:rsidRDefault="008E4145" w:rsidP="000D4997">
            <w:pPr>
              <w:jc w:val="both"/>
              <w:rPr>
                <w:rFonts w:cs="Verdana"/>
                <w:color w:val="000000"/>
              </w:rPr>
            </w:pPr>
          </w:p>
        </w:tc>
        <w:tc>
          <w:tcPr>
            <w:tcW w:w="2411" w:type="dxa"/>
          </w:tcPr>
          <w:p w:rsidR="008E4145" w:rsidRPr="00EB6770" w:rsidRDefault="008E4145" w:rsidP="000D4997">
            <w:pPr>
              <w:jc w:val="both"/>
              <w:rPr>
                <w:rFonts w:cs="Verdana"/>
                <w:b/>
                <w:bCs/>
                <w:color w:val="000000"/>
              </w:rPr>
            </w:pPr>
            <w:r w:rsidRPr="00EB6770">
              <w:rPr>
                <w:rFonts w:cs="Verdana"/>
                <w:b/>
                <w:bCs/>
                <w:color w:val="000000"/>
              </w:rPr>
              <w:t>Notevole</w:t>
            </w:r>
          </w:p>
          <w:p w:rsidR="008E4145" w:rsidRPr="00EB6770" w:rsidRDefault="008E4145" w:rsidP="000D4997">
            <w:pPr>
              <w:jc w:val="both"/>
              <w:rPr>
                <w:rFonts w:cs="Verdana"/>
                <w:b/>
                <w:bCs/>
                <w:color w:val="000000"/>
              </w:rPr>
            </w:pPr>
          </w:p>
        </w:tc>
      </w:tr>
      <w:tr w:rsidR="008E4145" w:rsidRPr="0093061F" w:rsidTr="000D4997">
        <w:tc>
          <w:tcPr>
            <w:tcW w:w="2624" w:type="dxa"/>
          </w:tcPr>
          <w:p w:rsidR="008E4145" w:rsidRPr="000C5D23" w:rsidRDefault="008E4145" w:rsidP="000D4997">
            <w:pPr>
              <w:autoSpaceDE w:val="0"/>
              <w:autoSpaceDN w:val="0"/>
              <w:adjustRightInd w:val="0"/>
              <w:rPr>
                <w:rFonts w:cs="TTE1C25C08t00"/>
                <w:sz w:val="19"/>
                <w:szCs w:val="19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Elettrocuzione</w:t>
            </w:r>
            <w:r>
              <w:rPr>
                <w:rFonts w:ascii="TTE1C25C08t00" w:hAnsi="TTE1C25C08t00" w:cs="TTE1C25C08t00"/>
                <w:sz w:val="19"/>
                <w:szCs w:val="19"/>
              </w:rPr>
              <w:t xml:space="preserve"> </w:t>
            </w:r>
            <w:r>
              <w:rPr>
                <w:rFonts w:cs="TTE1C25C08t00"/>
                <w:sz w:val="19"/>
                <w:szCs w:val="19"/>
              </w:rPr>
              <w:t xml:space="preserve">per lavori in prossimità di </w:t>
            </w:r>
            <w:r w:rsidRPr="000C5D23">
              <w:rPr>
                <w:rFonts w:cs="TTE1C25C08t00"/>
                <w:sz w:val="19"/>
                <w:szCs w:val="19"/>
              </w:rPr>
              <w:t>linee elettriche</w:t>
            </w:r>
          </w:p>
        </w:tc>
        <w:tc>
          <w:tcPr>
            <w:tcW w:w="2407" w:type="dxa"/>
          </w:tcPr>
          <w:p w:rsidR="008E4145" w:rsidRPr="00EB6770" w:rsidRDefault="008E4145" w:rsidP="000D4997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Probabile</w:t>
            </w:r>
          </w:p>
          <w:p w:rsidR="008E4145" w:rsidRPr="00EB6770" w:rsidRDefault="008E4145" w:rsidP="000D4997">
            <w:pPr>
              <w:jc w:val="both"/>
            </w:pPr>
          </w:p>
        </w:tc>
        <w:tc>
          <w:tcPr>
            <w:tcW w:w="2412" w:type="dxa"/>
          </w:tcPr>
          <w:p w:rsidR="008E4145" w:rsidRPr="00EB6770" w:rsidRDefault="008E4145" w:rsidP="000D4997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Significativo</w:t>
            </w:r>
          </w:p>
          <w:p w:rsidR="008E4145" w:rsidRPr="00EB6770" w:rsidRDefault="008E4145" w:rsidP="000D4997">
            <w:pPr>
              <w:jc w:val="both"/>
              <w:rPr>
                <w:rFonts w:cs="Verdana"/>
                <w:color w:val="000000"/>
              </w:rPr>
            </w:pPr>
          </w:p>
        </w:tc>
        <w:tc>
          <w:tcPr>
            <w:tcW w:w="2411" w:type="dxa"/>
          </w:tcPr>
          <w:p w:rsidR="008E4145" w:rsidRPr="00EB6770" w:rsidRDefault="008E4145" w:rsidP="000D4997">
            <w:pPr>
              <w:jc w:val="both"/>
              <w:rPr>
                <w:rFonts w:cs="Verdana"/>
                <w:b/>
                <w:bCs/>
                <w:color w:val="000000"/>
              </w:rPr>
            </w:pPr>
            <w:r w:rsidRPr="00EB6770">
              <w:rPr>
                <w:rFonts w:cs="Verdana"/>
                <w:b/>
                <w:bCs/>
                <w:color w:val="000000"/>
              </w:rPr>
              <w:t>Notevole</w:t>
            </w:r>
          </w:p>
          <w:p w:rsidR="008E4145" w:rsidRPr="00EB6770" w:rsidRDefault="008E4145" w:rsidP="000D4997">
            <w:pPr>
              <w:jc w:val="both"/>
              <w:rPr>
                <w:rFonts w:cs="Verdana"/>
                <w:b/>
                <w:bCs/>
                <w:color w:val="000000"/>
              </w:rPr>
            </w:pPr>
          </w:p>
        </w:tc>
      </w:tr>
      <w:tr w:rsidR="008E4145" w:rsidRPr="0093061F" w:rsidTr="000D4997">
        <w:tc>
          <w:tcPr>
            <w:tcW w:w="2624" w:type="dxa"/>
          </w:tcPr>
          <w:p w:rsidR="008E4145" w:rsidRPr="000C5D23" w:rsidRDefault="008E4145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0C5D23">
              <w:rPr>
                <w:rFonts w:cs="TTE1C25C08t00"/>
                <w:sz w:val="19"/>
                <w:szCs w:val="19"/>
              </w:rPr>
              <w:t>Scivolamento</w:t>
            </w:r>
          </w:p>
        </w:tc>
        <w:tc>
          <w:tcPr>
            <w:tcW w:w="2407" w:type="dxa"/>
          </w:tcPr>
          <w:p w:rsidR="008E4145" w:rsidRPr="00EB6770" w:rsidRDefault="008E4145" w:rsidP="000D4997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Probabile</w:t>
            </w:r>
          </w:p>
          <w:p w:rsidR="008E4145" w:rsidRPr="00EB6770" w:rsidRDefault="008E4145" w:rsidP="000D4997">
            <w:pPr>
              <w:jc w:val="both"/>
            </w:pPr>
          </w:p>
        </w:tc>
        <w:tc>
          <w:tcPr>
            <w:tcW w:w="2412" w:type="dxa"/>
          </w:tcPr>
          <w:p w:rsidR="008E4145" w:rsidRPr="00EB6770" w:rsidRDefault="008E4145" w:rsidP="000D4997">
            <w:pPr>
              <w:jc w:val="both"/>
              <w:rPr>
                <w:rFonts w:cs="Verdana"/>
                <w:color w:val="000000"/>
              </w:rPr>
            </w:pPr>
            <w:r w:rsidRPr="00EB6770">
              <w:rPr>
                <w:rFonts w:cs="Verdana"/>
                <w:color w:val="000000"/>
              </w:rPr>
              <w:t>Significativo</w:t>
            </w:r>
          </w:p>
          <w:p w:rsidR="008E4145" w:rsidRPr="00EB6770" w:rsidRDefault="008E4145" w:rsidP="000D4997">
            <w:pPr>
              <w:jc w:val="both"/>
              <w:rPr>
                <w:rFonts w:cs="Verdana"/>
                <w:color w:val="000000"/>
              </w:rPr>
            </w:pPr>
          </w:p>
        </w:tc>
        <w:tc>
          <w:tcPr>
            <w:tcW w:w="2411" w:type="dxa"/>
          </w:tcPr>
          <w:p w:rsidR="008E4145" w:rsidRPr="00EB6770" w:rsidRDefault="008E4145" w:rsidP="000D4997">
            <w:pPr>
              <w:jc w:val="both"/>
              <w:rPr>
                <w:rFonts w:cs="Verdana"/>
                <w:b/>
                <w:bCs/>
                <w:color w:val="000000"/>
              </w:rPr>
            </w:pPr>
            <w:r w:rsidRPr="00EB6770">
              <w:rPr>
                <w:rFonts w:cs="Verdana"/>
                <w:b/>
                <w:bCs/>
                <w:color w:val="000000"/>
              </w:rPr>
              <w:t>Notevole</w:t>
            </w:r>
          </w:p>
          <w:p w:rsidR="008E4145" w:rsidRPr="00EB6770" w:rsidRDefault="008E4145" w:rsidP="000D4997">
            <w:pPr>
              <w:jc w:val="both"/>
              <w:rPr>
                <w:rFonts w:cs="Verdana"/>
                <w:b/>
                <w:bCs/>
                <w:color w:val="000000"/>
              </w:rPr>
            </w:pPr>
          </w:p>
        </w:tc>
      </w:tr>
    </w:tbl>
    <w:p w:rsidR="008E4145" w:rsidRDefault="008E4145" w:rsidP="008E4145">
      <w:pPr>
        <w:rPr>
          <w:rFonts w:cs="Verdana"/>
          <w:b/>
          <w:bCs/>
          <w:color w:val="000000"/>
          <w:sz w:val="24"/>
          <w:szCs w:val="24"/>
        </w:rPr>
      </w:pPr>
    </w:p>
    <w:p w:rsidR="008E4145" w:rsidRPr="006E5CB5" w:rsidRDefault="008E4145" w:rsidP="008E4145">
      <w:r w:rsidRPr="00ED62D5">
        <w:rPr>
          <w:rFonts w:cs="Verdana"/>
          <w:b/>
          <w:bCs/>
          <w:color w:val="000000"/>
          <w:sz w:val="24"/>
          <w:szCs w:val="24"/>
        </w:rPr>
        <w:t xml:space="preserve">INTERVENTI/DISPOSIZIONI/PROCEDURE PER RIDURRE I RISCHI                                                                                    </w:t>
      </w:r>
      <w:r w:rsidRPr="00EB6770">
        <w:rPr>
          <w:rFonts w:cs="Verdana"/>
          <w:color w:val="000000"/>
        </w:rPr>
        <w:t>A seguito della valutazione dei rischi sono riportati, in maniera non esaustiva, gli</w:t>
      </w:r>
      <w:r w:rsidRPr="00EB6770">
        <w:rPr>
          <w:rFonts w:cs="Verdana"/>
          <w:b/>
          <w:bCs/>
          <w:color w:val="000000"/>
        </w:rPr>
        <w:t xml:space="preserve"> </w:t>
      </w:r>
      <w:r w:rsidRPr="00EB6770">
        <w:rPr>
          <w:rFonts w:cs="Verdana"/>
          <w:color w:val="000000"/>
        </w:rPr>
        <w:t>interventi/ disposizioni</w:t>
      </w:r>
      <w:r>
        <w:rPr>
          <w:rFonts w:cs="Verdana"/>
          <w:color w:val="000000"/>
        </w:rPr>
        <w:t xml:space="preserve">/ </w:t>
      </w:r>
      <w:r w:rsidRPr="00EB6770">
        <w:rPr>
          <w:rFonts w:cs="Verdana"/>
          <w:color w:val="000000"/>
        </w:rPr>
        <w:t>procedure volte a salvaguardare la sicurezza e la salute dei lavoratori:</w:t>
      </w:r>
      <w:r w:rsidRPr="00EB6770">
        <w:rPr>
          <w:rFonts w:cs="Verdana"/>
          <w:b/>
          <w:bCs/>
          <w:color w:val="000000"/>
        </w:rPr>
        <w:t xml:space="preserve">                                                    </w:t>
      </w:r>
      <w:r w:rsidRPr="00EB6770">
        <w:rPr>
          <w:rFonts w:cs="SymbolMT"/>
          <w:color w:val="000000"/>
        </w:rPr>
        <w:t xml:space="preserve"> </w:t>
      </w:r>
      <w:r>
        <w:t xml:space="preserve">                                                             </w:t>
      </w:r>
    </w:p>
    <w:p w:rsidR="008E4145" w:rsidRDefault="008E4145" w:rsidP="00100E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460472">
        <w:rPr>
          <w:rFonts w:cs="TTE1C25C08t00"/>
        </w:rPr>
        <w:t>Utilizzare il ponte su cavalletti rispettando altezza massima consentita (senza aggiunte</w:t>
      </w:r>
      <w:r>
        <w:rPr>
          <w:rFonts w:cs="TTE1C25C08t00"/>
        </w:rPr>
        <w:t xml:space="preserve"> </w:t>
      </w:r>
      <w:r w:rsidRPr="00460472">
        <w:rPr>
          <w:rFonts w:cs="TTE1C25C08t00"/>
        </w:rPr>
        <w:t>di sovrastrutture), portata massima, e numero di persone ammesse</w:t>
      </w:r>
      <w:r>
        <w:rPr>
          <w:rFonts w:cs="TTE1C25C08t00"/>
        </w:rPr>
        <w:t xml:space="preserve"> </w:t>
      </w:r>
      <w:r w:rsidRPr="00460472">
        <w:rPr>
          <w:rFonts w:cs="TTE1C25C08t00"/>
        </w:rPr>
        <w:t>contemporaneamente all'uso (Art. 139 del D.lgs. n.81/08)</w:t>
      </w:r>
      <w:r>
        <w:rPr>
          <w:rFonts w:cs="TTE1C25C08t00"/>
        </w:rPr>
        <w:t>;</w:t>
      </w:r>
    </w:p>
    <w:p w:rsidR="008E4145" w:rsidRDefault="008E4145" w:rsidP="00100E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460472">
        <w:rPr>
          <w:rFonts w:cs="TTE1C25C08t00"/>
        </w:rPr>
        <w:t>Evitare di concentrare carichi sugli impalcati (più persone o diversi materiali)</w:t>
      </w:r>
      <w:r>
        <w:rPr>
          <w:rFonts w:cs="TTE1C25C08t00"/>
        </w:rPr>
        <w:t xml:space="preserve"> </w:t>
      </w:r>
      <w:r w:rsidRPr="00460472">
        <w:rPr>
          <w:rFonts w:cs="TTE1C25C08t00"/>
        </w:rPr>
        <w:t>specialmente in mezzeria delle tavole</w:t>
      </w:r>
      <w:r>
        <w:rPr>
          <w:rFonts w:cs="TTE1C25C08t00"/>
        </w:rPr>
        <w:t>;</w:t>
      </w:r>
    </w:p>
    <w:p w:rsidR="008E4145" w:rsidRDefault="008E4145" w:rsidP="00100E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460472">
        <w:rPr>
          <w:rFonts w:cs="TTE1C25C08t00"/>
        </w:rPr>
        <w:t>Sull'impalcato si deve tenere solo il materiale strettamente necessario per l'immediato</w:t>
      </w:r>
      <w:r>
        <w:rPr>
          <w:rFonts w:cs="TTE1C25C08t00"/>
        </w:rPr>
        <w:t xml:space="preserve"> </w:t>
      </w:r>
      <w:r w:rsidRPr="00460472">
        <w:rPr>
          <w:rFonts w:cs="TTE1C25C08t00"/>
        </w:rPr>
        <w:t>utilizzo durante il lavoro. E' necessario, inoltre, verificare lo spazio occupato dai</w:t>
      </w:r>
      <w:r>
        <w:rPr>
          <w:rFonts w:cs="TTE1C25C08t00"/>
        </w:rPr>
        <w:t xml:space="preserve"> </w:t>
      </w:r>
      <w:r w:rsidRPr="00460472">
        <w:rPr>
          <w:rFonts w:cs="TTE1C25C08t00"/>
        </w:rPr>
        <w:t>materiali che deve sempre consentire il movimento in sicurezza degli addetti</w:t>
      </w:r>
      <w:r>
        <w:rPr>
          <w:rFonts w:cs="TTE1C25C08t00"/>
        </w:rPr>
        <w:t>;</w:t>
      </w:r>
    </w:p>
    <w:p w:rsidR="008E4145" w:rsidRDefault="008E4145" w:rsidP="00100E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460472">
        <w:rPr>
          <w:rFonts w:cs="TTE1C25C08t00"/>
        </w:rPr>
        <w:t>Non utilizzare pannelli per casseforme per formare l'impalcato del ponte su cavalletti</w:t>
      </w:r>
      <w:r>
        <w:rPr>
          <w:rFonts w:cs="TTE1C25C08t00"/>
        </w:rPr>
        <w:t>;</w:t>
      </w:r>
    </w:p>
    <w:p w:rsidR="008E4145" w:rsidRDefault="008E4145" w:rsidP="00100E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460472">
        <w:rPr>
          <w:rFonts w:cs="TTE1C25C08t00"/>
        </w:rPr>
        <w:t>Proteggere gli sporti della cavalla da ponteggio usata come cavalletto (lo scivolamento</w:t>
      </w:r>
      <w:r>
        <w:rPr>
          <w:rFonts w:cs="TTE1C25C08t00"/>
        </w:rPr>
        <w:t xml:space="preserve"> </w:t>
      </w:r>
      <w:r w:rsidRPr="00460472">
        <w:rPr>
          <w:rFonts w:cs="TTE1C25C08t00"/>
        </w:rPr>
        <w:t>in piano e l'urto di parte del corpo contro tali sporti e causa di infortuni anche gravi)</w:t>
      </w:r>
      <w:r>
        <w:rPr>
          <w:rFonts w:cs="TTE1C25C08t00"/>
        </w:rPr>
        <w:t>;</w:t>
      </w:r>
    </w:p>
    <w:p w:rsidR="008E4145" w:rsidRDefault="008E4145" w:rsidP="00100E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460472">
        <w:rPr>
          <w:rFonts w:cs="TTE1C25C08t00"/>
        </w:rPr>
        <w:t>Quando si utilizza la cavalla da ponteggio si deve unire sempre con gli appositi correnti</w:t>
      </w:r>
      <w:r>
        <w:rPr>
          <w:rFonts w:cs="TTE1C25C08t00"/>
        </w:rPr>
        <w:t xml:space="preserve"> </w:t>
      </w:r>
      <w:r w:rsidRPr="00460472">
        <w:rPr>
          <w:rFonts w:cs="TTE1C25C08t00"/>
        </w:rPr>
        <w:t>e diagonali per rendere stabile il ponte su cavalletti ( Allegato XVIII punto 2.2.2 delD.lgs. n.81/08 )</w:t>
      </w:r>
    </w:p>
    <w:p w:rsidR="008E4145" w:rsidRDefault="008E4145" w:rsidP="00100E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460472">
        <w:rPr>
          <w:rFonts w:cs="TTE1C25C08t00"/>
        </w:rPr>
        <w:t>Per tavole metalliche verificare la funzionalità e l'inserimento del perno di bloccaggio</w:t>
      </w:r>
      <w:r>
        <w:rPr>
          <w:rFonts w:cs="TTE1C25C08t00"/>
        </w:rPr>
        <w:t>;</w:t>
      </w:r>
    </w:p>
    <w:p w:rsidR="008E4145" w:rsidRDefault="008E4145" w:rsidP="00100E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460472">
        <w:rPr>
          <w:rFonts w:cs="Symbol"/>
        </w:rPr>
        <w:lastRenderedPageBreak/>
        <w:t xml:space="preserve"> </w:t>
      </w:r>
      <w:r w:rsidRPr="00460472">
        <w:rPr>
          <w:rFonts w:cs="TTE1C25C08t00"/>
        </w:rPr>
        <w:t>Verificare la presenza di regolare parapetto (alto almeno 1 metro, con tavola</w:t>
      </w:r>
      <w:r>
        <w:rPr>
          <w:rFonts w:cs="TTE1C25C08t00"/>
        </w:rPr>
        <w:t xml:space="preserve"> </w:t>
      </w:r>
      <w:r w:rsidRPr="00460472">
        <w:rPr>
          <w:rFonts w:cs="TTE1C25C08t00"/>
        </w:rPr>
        <w:t>fermapiede, corrente superiore e intermedio) su tutti i piani in uso del ponte per altezze</w:t>
      </w:r>
      <w:r>
        <w:rPr>
          <w:rFonts w:cs="TTE1C25C08t00"/>
        </w:rPr>
        <w:t xml:space="preserve"> </w:t>
      </w:r>
      <w:r w:rsidRPr="00460472">
        <w:rPr>
          <w:rFonts w:cs="TTE1C25C08t00"/>
        </w:rPr>
        <w:t>superiori a 2 m</w:t>
      </w:r>
      <w:r>
        <w:rPr>
          <w:rFonts w:cs="TTE1C25C08t00"/>
        </w:rPr>
        <w:t>;</w:t>
      </w:r>
    </w:p>
    <w:p w:rsidR="008E4145" w:rsidRDefault="008E4145" w:rsidP="00100E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460472">
        <w:rPr>
          <w:rFonts w:cs="TTE1C25C08t00"/>
        </w:rPr>
        <w:t>Non usare al posto dei cavalletti mezzi impropri come pacchi di mattoni, bidoni o scale a</w:t>
      </w:r>
      <w:r>
        <w:rPr>
          <w:rFonts w:cs="TTE1C25C08t00"/>
        </w:rPr>
        <w:t xml:space="preserve"> </w:t>
      </w:r>
      <w:r w:rsidRPr="00460472">
        <w:rPr>
          <w:rFonts w:cs="TTE1C25C08t00"/>
        </w:rPr>
        <w:t>pioli</w:t>
      </w:r>
      <w:r>
        <w:rPr>
          <w:rFonts w:cs="TTE1C25C08t00"/>
        </w:rPr>
        <w:t>;</w:t>
      </w:r>
    </w:p>
    <w:p w:rsidR="008E4145" w:rsidRDefault="008E4145" w:rsidP="00100E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460472">
        <w:rPr>
          <w:rFonts w:cs="TTE1C25C08t00"/>
        </w:rPr>
        <w:t>Privilegiare sempre la presenza del terzo cavalletto al centro</w:t>
      </w:r>
      <w:r>
        <w:rPr>
          <w:rFonts w:cs="TTE1C25C08t00"/>
        </w:rPr>
        <w:t>;</w:t>
      </w:r>
    </w:p>
    <w:p w:rsidR="008E4145" w:rsidRDefault="008E4145" w:rsidP="00100E6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460472">
        <w:rPr>
          <w:rFonts w:cs="Symbol"/>
        </w:rPr>
        <w:t xml:space="preserve"> </w:t>
      </w:r>
      <w:r w:rsidRPr="00460472">
        <w:rPr>
          <w:rFonts w:cs="TTE1C25C08t00"/>
        </w:rPr>
        <w:t>Verificare che il carico del ponte sul terreno sia opportunamente ripartito con tavoloni o</w:t>
      </w:r>
      <w:r>
        <w:rPr>
          <w:rFonts w:cs="TTE1C25C08t00"/>
        </w:rPr>
        <w:t xml:space="preserve"> </w:t>
      </w:r>
      <w:r w:rsidRPr="00460472">
        <w:rPr>
          <w:rFonts w:cs="TTE1C25C08t00"/>
        </w:rPr>
        <w:t>altro mezzo equivalente, qualora il terreno non risulti ben livellato o di portanza</w:t>
      </w:r>
      <w:r>
        <w:rPr>
          <w:rFonts w:cs="TTE1C25C08t00"/>
        </w:rPr>
        <w:t xml:space="preserve"> </w:t>
      </w:r>
      <w:r w:rsidRPr="00460472">
        <w:rPr>
          <w:rFonts w:cs="TTE1C25C08t00"/>
        </w:rPr>
        <w:t>adeguata</w:t>
      </w:r>
      <w:r>
        <w:rPr>
          <w:rFonts w:cs="TTE1C25C08t00"/>
        </w:rPr>
        <w:t>;</w:t>
      </w:r>
    </w:p>
    <w:tbl>
      <w:tblPr>
        <w:tblpPr w:leftFromText="141" w:rightFromText="141" w:vertAnchor="text" w:tblpX="500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</w:tblGrid>
      <w:tr w:rsidR="00B10F3E" w:rsidTr="00B10F3E">
        <w:trPr>
          <w:trHeight w:val="2865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B10F3E" w:rsidRPr="00B10F3E" w:rsidRDefault="00B10F3E" w:rsidP="00B10F3E">
            <w:pPr>
              <w:autoSpaceDE w:val="0"/>
              <w:autoSpaceDN w:val="0"/>
              <w:adjustRightInd w:val="0"/>
              <w:spacing w:after="0"/>
              <w:rPr>
                <w:rFonts w:cs="TTE1C25C08t00"/>
              </w:rPr>
            </w:pPr>
            <w:r>
              <w:object w:dxaOrig="3930" w:dyaOrig="3240">
                <v:shape id="_x0000_i1026" type="#_x0000_t75" style="width:196.5pt;height:162pt" o:ole="">
                  <v:imagedata r:id="rId9" o:title=""/>
                </v:shape>
                <o:OLEObject Type="Embed" ProgID="PBrush" ShapeID="_x0000_i1026" DrawAspect="Content" ObjectID="_1144711676" r:id="rId10"/>
              </w:object>
            </w:r>
          </w:p>
        </w:tc>
      </w:tr>
    </w:tbl>
    <w:p w:rsidR="008E4145" w:rsidRPr="00460472" w:rsidRDefault="008E4145" w:rsidP="008E414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TE1C25C08t00"/>
        </w:rPr>
      </w:pPr>
      <w:r w:rsidRPr="00460472">
        <w:rPr>
          <w:rFonts w:cs="TTE1C25C08t00"/>
        </w:rPr>
        <w:t>La</w:t>
      </w:r>
      <w:r w:rsidR="00B10F3E">
        <w:rPr>
          <w:rFonts w:cs="TTE1C25C08t00"/>
        </w:rPr>
        <w:t xml:space="preserve">   </w:t>
      </w:r>
      <w:r w:rsidRPr="00460472">
        <w:rPr>
          <w:rFonts w:cs="TTE1C25C08t00"/>
        </w:rPr>
        <w:t xml:space="preserve">distanza </w:t>
      </w:r>
      <w:r w:rsidR="00B10F3E">
        <w:rPr>
          <w:rFonts w:cs="TTE1C25C08t00"/>
        </w:rPr>
        <w:t xml:space="preserve">  </w:t>
      </w:r>
      <w:r w:rsidRPr="00460472">
        <w:rPr>
          <w:rFonts w:cs="TTE1C25C08t00"/>
        </w:rPr>
        <w:t xml:space="preserve">massima </w:t>
      </w:r>
      <w:r w:rsidR="00B10F3E">
        <w:rPr>
          <w:rFonts w:cs="TTE1C25C08t00"/>
        </w:rPr>
        <w:t xml:space="preserve"> </w:t>
      </w:r>
      <w:r w:rsidRPr="00460472">
        <w:rPr>
          <w:rFonts w:cs="TTE1C25C08t00"/>
        </w:rPr>
        <w:t xml:space="preserve">tra </w:t>
      </w:r>
      <w:r w:rsidR="00B10F3E">
        <w:rPr>
          <w:rFonts w:cs="TTE1C25C08t00"/>
        </w:rPr>
        <w:t xml:space="preserve">  </w:t>
      </w:r>
      <w:r w:rsidRPr="00460472">
        <w:rPr>
          <w:rFonts w:cs="TTE1C25C08t00"/>
        </w:rPr>
        <w:t xml:space="preserve">due </w:t>
      </w:r>
      <w:r w:rsidR="00B10F3E">
        <w:rPr>
          <w:rFonts w:cs="TTE1C25C08t00"/>
        </w:rPr>
        <w:t xml:space="preserve">  </w:t>
      </w:r>
      <w:r w:rsidRPr="00460472">
        <w:rPr>
          <w:rFonts w:cs="TTE1C25C08t00"/>
        </w:rPr>
        <w:t xml:space="preserve">cavalletti </w:t>
      </w:r>
      <w:r w:rsidR="00B10F3E" w:rsidRPr="00460472">
        <w:rPr>
          <w:rFonts w:cs="TTE1C25C08t00"/>
        </w:rPr>
        <w:t xml:space="preserve">consecutivi </w:t>
      </w:r>
      <w:r w:rsidR="00B10F3E">
        <w:rPr>
          <w:rFonts w:cs="TTE1C25C08t00"/>
        </w:rPr>
        <w:t xml:space="preserve">   </w:t>
      </w:r>
      <w:r w:rsidR="00B10F3E" w:rsidRPr="00460472">
        <w:rPr>
          <w:rFonts w:cs="TTE1C25C08t00"/>
        </w:rPr>
        <w:t xml:space="preserve">dipende </w:t>
      </w:r>
      <w:r w:rsidR="00B10F3E">
        <w:rPr>
          <w:rFonts w:cs="TTE1C25C08t00"/>
        </w:rPr>
        <w:t xml:space="preserve">  </w:t>
      </w:r>
      <w:r w:rsidR="00B10F3E" w:rsidRPr="00460472">
        <w:rPr>
          <w:rFonts w:cs="TTE1C25C08t00"/>
        </w:rPr>
        <w:t xml:space="preserve">dalla </w:t>
      </w:r>
      <w:r w:rsidR="00B10F3E">
        <w:rPr>
          <w:rFonts w:cs="TTE1C25C08t00"/>
        </w:rPr>
        <w:t xml:space="preserve">  </w:t>
      </w:r>
      <w:r w:rsidR="00B10F3E" w:rsidRPr="00460472">
        <w:rPr>
          <w:rFonts w:cs="TTE1C25C08t00"/>
        </w:rPr>
        <w:t xml:space="preserve">sezione </w:t>
      </w:r>
      <w:r w:rsidR="00B10F3E">
        <w:rPr>
          <w:rFonts w:cs="TTE1C25C08t00"/>
        </w:rPr>
        <w:t xml:space="preserve"> </w:t>
      </w:r>
      <w:r w:rsidR="00B10F3E" w:rsidRPr="00460472">
        <w:rPr>
          <w:rFonts w:cs="TTE1C25C08t00"/>
        </w:rPr>
        <w:t>delle</w:t>
      </w:r>
      <w:r w:rsidR="00B10F3E">
        <w:rPr>
          <w:rFonts w:cs="TTE1C25C08t00"/>
        </w:rPr>
        <w:t xml:space="preserve">                                                                                                              </w:t>
      </w:r>
      <w:r w:rsidRPr="00460472">
        <w:rPr>
          <w:rFonts w:cs="TTE1C25C08t00"/>
        </w:rPr>
        <w:t>tavole di</w:t>
      </w:r>
      <w:r>
        <w:rPr>
          <w:rFonts w:cs="TTE1C25C08t00"/>
        </w:rPr>
        <w:t xml:space="preserve"> </w:t>
      </w:r>
      <w:r w:rsidRPr="00460472">
        <w:rPr>
          <w:rFonts w:cs="TTE1C25C08t00"/>
        </w:rPr>
        <w:t>legno che si</w:t>
      </w:r>
      <w:r w:rsidR="00B10F3E">
        <w:rPr>
          <w:rFonts w:cs="TTE1C25C08t00"/>
        </w:rPr>
        <w:t xml:space="preserve"> </w:t>
      </w:r>
      <w:r w:rsidR="00B10F3E" w:rsidRPr="00460472">
        <w:rPr>
          <w:rFonts w:cs="TTE1C25C08t00"/>
        </w:rPr>
        <w:t>andranno ad usare e cioè:</w:t>
      </w:r>
      <w:r w:rsidR="00B10F3E">
        <w:rPr>
          <w:rFonts w:cs="TTE1C25C08t00"/>
        </w:rPr>
        <w:t xml:space="preserve">                                                                                                                               </w:t>
      </w:r>
    </w:p>
    <w:p w:rsidR="008E4145" w:rsidRDefault="008E4145" w:rsidP="008E4145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B10F3E">
        <w:rPr>
          <w:rFonts w:cs="TTE1C25C08t00"/>
        </w:rPr>
        <w:t xml:space="preserve">con sezione 30 x 5 cm e lunghezza 4 m. la </w:t>
      </w:r>
      <w:r w:rsidR="00B10F3E">
        <w:rPr>
          <w:rFonts w:cs="TTE1C25C08t00"/>
        </w:rPr>
        <w:t xml:space="preserve">                                                                                                                  </w:t>
      </w:r>
      <w:r w:rsidRPr="00B10F3E">
        <w:rPr>
          <w:rFonts w:cs="TTE1C25C08t00"/>
        </w:rPr>
        <w:t xml:space="preserve">distanza massima sarà di 3,60 m (quindi in </w:t>
      </w:r>
      <w:r w:rsidR="00B10F3E">
        <w:rPr>
          <w:rFonts w:cs="TTE1C25C08t00"/>
        </w:rPr>
        <w:t xml:space="preserve">                                                                                                        </w:t>
      </w:r>
      <w:r w:rsidRPr="00B10F3E">
        <w:rPr>
          <w:rFonts w:cs="TTE1C25C08t00"/>
        </w:rPr>
        <w:t xml:space="preserve">questo caso è ammesso l'uso anche di due </w:t>
      </w:r>
      <w:r w:rsidR="00B10F3E">
        <w:rPr>
          <w:rFonts w:cs="TTE1C25C08t00"/>
        </w:rPr>
        <w:t xml:space="preserve">                                                                                                                                 </w:t>
      </w:r>
      <w:r w:rsidRPr="00B10F3E">
        <w:rPr>
          <w:rFonts w:cs="TTE1C25C08t00"/>
        </w:rPr>
        <w:t>soli cavalletti per tavola)</w:t>
      </w:r>
      <w:r w:rsidR="00B10F3E">
        <w:rPr>
          <w:rFonts w:cs="TTE1C25C08t00"/>
        </w:rPr>
        <w:t>;</w:t>
      </w:r>
    </w:p>
    <w:p w:rsidR="008E4145" w:rsidRPr="00B10F3E" w:rsidRDefault="008E4145" w:rsidP="008E4145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cs="TTE1C25C08t00"/>
        </w:rPr>
      </w:pPr>
      <w:r w:rsidRPr="00B10F3E">
        <w:rPr>
          <w:rFonts w:cs="TTE1C25C08t00"/>
        </w:rPr>
        <w:t xml:space="preserve">con sezione al minimo di 20 x 4 cm e </w:t>
      </w:r>
      <w:r w:rsidR="00B10F3E">
        <w:rPr>
          <w:rFonts w:cs="TTE1C25C08t00"/>
        </w:rPr>
        <w:t xml:space="preserve">                                                                                                                         </w:t>
      </w:r>
      <w:r w:rsidRPr="00B10F3E">
        <w:rPr>
          <w:rFonts w:cs="TTE1C25C08t00"/>
        </w:rPr>
        <w:t xml:space="preserve">lunghezza 4 m. la distanza massima sarà 1,80 </w:t>
      </w:r>
      <w:r w:rsidR="00B10F3E">
        <w:rPr>
          <w:rFonts w:cs="TTE1C25C08t00"/>
        </w:rPr>
        <w:t xml:space="preserve">                                                                                                                      </w:t>
      </w:r>
      <w:r w:rsidRPr="00B10F3E">
        <w:rPr>
          <w:rFonts w:cs="TTE1C25C08t00"/>
        </w:rPr>
        <w:t>m ( Allegato XVIII  punto 2.2.2 del D.lgs. n.81/08 );</w:t>
      </w:r>
    </w:p>
    <w:p w:rsidR="008E4145" w:rsidRDefault="008E4145" w:rsidP="00100E6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460472">
        <w:rPr>
          <w:rFonts w:cs="TTE1C25C08t00"/>
        </w:rPr>
        <w:t>I ponti su cavalletti devono essere utilizzati solo a livello del suolo o di pavimento,</w:t>
      </w:r>
      <w:r>
        <w:rPr>
          <w:rFonts w:cs="TTE1C25C08t00"/>
        </w:rPr>
        <w:t xml:space="preserve"> </w:t>
      </w:r>
      <w:r w:rsidRPr="00460472">
        <w:rPr>
          <w:rFonts w:cs="TTE1C25C08t00"/>
        </w:rPr>
        <w:t>mentre è vietato il loro uso su impalcati di ponteggi esterni o di altri ponti su cavalletti.</w:t>
      </w:r>
      <w:r>
        <w:rPr>
          <w:rFonts w:cs="TTE1C25C08t00"/>
        </w:rPr>
        <w:t xml:space="preserve"> </w:t>
      </w:r>
      <w:r w:rsidRPr="00460472">
        <w:rPr>
          <w:rFonts w:cs="TTE1C25C08t00"/>
        </w:rPr>
        <w:t>Essi non devono comunque mai superare un altezza di 2 metri</w:t>
      </w:r>
      <w:r>
        <w:rPr>
          <w:rFonts w:cs="TTE1C25C08t00"/>
        </w:rPr>
        <w:t>;</w:t>
      </w:r>
    </w:p>
    <w:p w:rsidR="008E4145" w:rsidRDefault="008E4145" w:rsidP="00100E6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460472">
        <w:rPr>
          <w:rFonts w:cs="Symbol"/>
        </w:rPr>
        <w:t xml:space="preserve"> </w:t>
      </w:r>
      <w:r w:rsidRPr="00460472">
        <w:rPr>
          <w:rFonts w:cs="TTE1C25C08t00"/>
        </w:rPr>
        <w:t>Le tavole di legno che formano gli impalcati devono sempre appoggiare su tre cavalletti.</w:t>
      </w:r>
      <w:r>
        <w:rPr>
          <w:rFonts w:cs="TTE1C25C08t00"/>
        </w:rPr>
        <w:t xml:space="preserve"> </w:t>
      </w:r>
      <w:r w:rsidRPr="00460472">
        <w:rPr>
          <w:rFonts w:cs="TTE1C25C08t00"/>
        </w:rPr>
        <w:t>Controllare che le tavole di legno dell'impalcato non abbiano nodi passanti che riducano</w:t>
      </w:r>
      <w:r>
        <w:rPr>
          <w:rFonts w:cs="TTE1C25C08t00"/>
        </w:rPr>
        <w:t xml:space="preserve"> </w:t>
      </w:r>
      <w:r w:rsidRPr="00460472">
        <w:rPr>
          <w:rFonts w:cs="TTE1C25C08t00"/>
        </w:rPr>
        <w:t xml:space="preserve">più del 10% la sezione o fessurazioni longitudinali. In quest'ultimo caso occorre scartarle </w:t>
      </w:r>
      <w:r>
        <w:rPr>
          <w:rFonts w:cs="TTE1C25C08t00"/>
        </w:rPr>
        <w:t>;</w:t>
      </w:r>
    </w:p>
    <w:p w:rsidR="008E4145" w:rsidRPr="00460472" w:rsidRDefault="008E4145" w:rsidP="00100E6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TE1C25C08t00"/>
        </w:rPr>
      </w:pPr>
      <w:r w:rsidRPr="00460472">
        <w:rPr>
          <w:rFonts w:cs="TTE1C25C08t00"/>
        </w:rPr>
        <w:t>Gli impalcati non dovranno presentare parti a sbalzo superiori a 20 cm. La larghezza</w:t>
      </w:r>
      <w:r>
        <w:rPr>
          <w:rFonts w:cs="TTE1C25C08t00"/>
        </w:rPr>
        <w:t xml:space="preserve"> </w:t>
      </w:r>
      <w:r w:rsidRPr="00460472">
        <w:rPr>
          <w:rFonts w:cs="TTE1C25C08t00"/>
        </w:rPr>
        <w:t>degli impalcati dovrà essere al minimo di 90 cm e le tavole dovranno essere ben</w:t>
      </w:r>
      <w:r>
        <w:rPr>
          <w:rFonts w:cs="TTE1C25C08t00"/>
        </w:rPr>
        <w:t xml:space="preserve"> </w:t>
      </w:r>
      <w:r w:rsidRPr="00460472">
        <w:rPr>
          <w:rFonts w:cs="TTE1C25C08t00"/>
        </w:rPr>
        <w:t>accostate e fissate tra di loro</w:t>
      </w:r>
    </w:p>
    <w:p w:rsidR="008E4145" w:rsidRPr="00460472" w:rsidRDefault="008E4145" w:rsidP="00100E6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cs="TTE1C25C08t00"/>
        </w:rPr>
      </w:pPr>
      <w:r w:rsidRPr="00460472">
        <w:rPr>
          <w:rFonts w:cs="TTE1C25C08t00"/>
        </w:rPr>
        <w:t>Qualora i ponti vengano usati in prossimità di aperture prospicienti il vuoto (vani scale,finestre, ascensori) con altezze superiori a 2 m l'impalcato dovrà essere munito di</w:t>
      </w:r>
      <w:r>
        <w:rPr>
          <w:rFonts w:cs="TTE1C25C08t00"/>
        </w:rPr>
        <w:t xml:space="preserve"> </w:t>
      </w:r>
      <w:r w:rsidRPr="00460472">
        <w:rPr>
          <w:rFonts w:cs="TTE1C25C08t00"/>
        </w:rPr>
        <w:t>adeguato parapetto completo di tavola fermapiede. Nel caso ciò non fosse possibile si</w:t>
      </w:r>
      <w:r>
        <w:rPr>
          <w:rFonts w:cs="TTE1C25C08t00"/>
        </w:rPr>
        <w:t xml:space="preserve"> </w:t>
      </w:r>
      <w:r w:rsidRPr="00460472">
        <w:rPr>
          <w:rFonts w:cs="TTE1C25C08t00"/>
        </w:rPr>
        <w:t>dovrà utilizzare un idonea cintura di sicurezza fissata a parti stabili ( Art. 126 del D.lgs.n.81/08 )</w:t>
      </w:r>
    </w:p>
    <w:p w:rsidR="008E4145" w:rsidRDefault="008E4145" w:rsidP="00100E6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cs="TTE1C25C08t00"/>
        </w:rPr>
      </w:pPr>
      <w:r w:rsidRPr="00460472">
        <w:rPr>
          <w:rFonts w:cs="TTE1C25C08t00"/>
        </w:rPr>
        <w:t>I piedi dei cavalletti, oltre ad essere irrigiditi mediante tiranti normali e diagonali,</w:t>
      </w:r>
      <w:r>
        <w:rPr>
          <w:rFonts w:cs="TTE1C25C08t00"/>
        </w:rPr>
        <w:t xml:space="preserve"> </w:t>
      </w:r>
      <w:r w:rsidRPr="00460472">
        <w:rPr>
          <w:rFonts w:cs="TTE1C25C08t00"/>
        </w:rPr>
        <w:t>dovranno poggiare sempre su pavimento solido e ben livellato</w:t>
      </w:r>
      <w:r>
        <w:rPr>
          <w:rFonts w:cs="TTE1C25C08t00"/>
        </w:rPr>
        <w:t>;</w:t>
      </w:r>
    </w:p>
    <w:p w:rsidR="008E4145" w:rsidRPr="00460472" w:rsidRDefault="008E4145" w:rsidP="00100E6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cs="TTE1C25C08t00"/>
        </w:rPr>
      </w:pPr>
      <w:r w:rsidRPr="00460472">
        <w:rPr>
          <w:rFonts w:cs="TTE1C25C08t00"/>
        </w:rPr>
        <w:t>Per l'accesso ai ponti su cavalletti si devono utilizzare scale a mano evitando di</w:t>
      </w:r>
      <w:r>
        <w:rPr>
          <w:rFonts w:cs="TTE1C25C08t00"/>
        </w:rPr>
        <w:t xml:space="preserve"> </w:t>
      </w:r>
      <w:r w:rsidRPr="00460472">
        <w:rPr>
          <w:rFonts w:cs="TTE1C25C08t00"/>
        </w:rPr>
        <w:t>appoggiarle al ponte per pericolo di ribaltamento</w:t>
      </w:r>
      <w:r>
        <w:rPr>
          <w:rFonts w:cs="TTE1C25C08t00"/>
        </w:rPr>
        <w:t>;</w:t>
      </w:r>
    </w:p>
    <w:p w:rsidR="008E4145" w:rsidRPr="00460472" w:rsidRDefault="008E4145" w:rsidP="00100E6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cs="TTE1C25C08t00"/>
        </w:rPr>
      </w:pPr>
      <w:r w:rsidRPr="00460472">
        <w:rPr>
          <w:rFonts w:cs="Symbol"/>
        </w:rPr>
        <w:t xml:space="preserve"> </w:t>
      </w:r>
      <w:r w:rsidRPr="00460472">
        <w:rPr>
          <w:rFonts w:cs="TTE1C25C08t00"/>
        </w:rPr>
        <w:t>Non usare mai scale a mano sopra ai ponti su cavalletti</w:t>
      </w:r>
      <w:r>
        <w:rPr>
          <w:rFonts w:cs="TTE1C25C08t00"/>
        </w:rPr>
        <w:t>;</w:t>
      </w:r>
    </w:p>
    <w:p w:rsidR="008E4145" w:rsidRPr="00460472" w:rsidRDefault="008E4145" w:rsidP="00100E6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cs="TTE1C25C08t00"/>
        </w:rPr>
      </w:pPr>
      <w:r w:rsidRPr="00460472">
        <w:rPr>
          <w:rFonts w:cs="TTE1C25C08t00"/>
        </w:rPr>
        <w:t>Verificare che i cavalletti metallici non abbiano ruggine passante o segni di fessurazione</w:t>
      </w:r>
      <w:r>
        <w:rPr>
          <w:rFonts w:cs="TTE1C25C08t00"/>
        </w:rPr>
        <w:t xml:space="preserve"> </w:t>
      </w:r>
      <w:r w:rsidRPr="00460472">
        <w:rPr>
          <w:rFonts w:cs="TTE1C25C08t00"/>
        </w:rPr>
        <w:t>specialmente nei punti di saldatura</w:t>
      </w:r>
    </w:p>
    <w:p w:rsidR="008E4145" w:rsidRPr="00460472" w:rsidRDefault="008E4145" w:rsidP="00100E6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cs="TTE1C25C08t00"/>
        </w:rPr>
      </w:pPr>
      <w:r w:rsidRPr="00460472">
        <w:rPr>
          <w:rFonts w:cs="TTE1C25C08t00"/>
        </w:rPr>
        <w:t>Per le normali attività sul ponte su cavalletti utilizzare casco di sicurezza, scarpe disicurezza con suola antisdrucciolo, guanti</w:t>
      </w:r>
    </w:p>
    <w:p w:rsidR="00100E6C" w:rsidRDefault="00100E6C" w:rsidP="008E4145">
      <w:pPr>
        <w:autoSpaceDE w:val="0"/>
        <w:autoSpaceDN w:val="0"/>
        <w:adjustRightInd w:val="0"/>
        <w:rPr>
          <w:rFonts w:cs="Verdana"/>
          <w:b/>
          <w:bCs/>
          <w:color w:val="000000"/>
          <w:sz w:val="28"/>
          <w:szCs w:val="28"/>
        </w:rPr>
      </w:pPr>
    </w:p>
    <w:p w:rsidR="00100E6C" w:rsidRDefault="00100E6C" w:rsidP="008E4145">
      <w:pPr>
        <w:autoSpaceDE w:val="0"/>
        <w:autoSpaceDN w:val="0"/>
        <w:adjustRightInd w:val="0"/>
        <w:rPr>
          <w:rFonts w:cs="Verdana"/>
          <w:b/>
          <w:bCs/>
          <w:color w:val="000000"/>
          <w:sz w:val="28"/>
          <w:szCs w:val="28"/>
        </w:rPr>
      </w:pPr>
    </w:p>
    <w:p w:rsidR="00100E6C" w:rsidRDefault="00100E6C" w:rsidP="008E4145">
      <w:pPr>
        <w:autoSpaceDE w:val="0"/>
        <w:autoSpaceDN w:val="0"/>
        <w:adjustRightInd w:val="0"/>
        <w:rPr>
          <w:rFonts w:cs="Verdana"/>
          <w:b/>
          <w:bCs/>
          <w:color w:val="000000"/>
          <w:sz w:val="28"/>
          <w:szCs w:val="28"/>
        </w:rPr>
      </w:pPr>
    </w:p>
    <w:p w:rsidR="008E4145" w:rsidRPr="00304C96" w:rsidRDefault="008E4145" w:rsidP="008E4145">
      <w:pPr>
        <w:autoSpaceDE w:val="0"/>
        <w:autoSpaceDN w:val="0"/>
        <w:adjustRightInd w:val="0"/>
        <w:rPr>
          <w:rFonts w:cs="Verdana"/>
          <w:b/>
          <w:bCs/>
          <w:color w:val="000000"/>
          <w:sz w:val="24"/>
          <w:szCs w:val="24"/>
        </w:rPr>
      </w:pPr>
      <w:r w:rsidRPr="00304C96">
        <w:rPr>
          <w:rFonts w:cs="Verdana"/>
          <w:b/>
          <w:bCs/>
          <w:color w:val="000000"/>
          <w:sz w:val="28"/>
          <w:szCs w:val="28"/>
        </w:rPr>
        <w:lastRenderedPageBreak/>
        <w:t xml:space="preserve">DPI                                                                                                                                                                          </w:t>
      </w:r>
      <w:r w:rsidRPr="00304C96">
        <w:rPr>
          <w:rFonts w:cs="Verdana"/>
          <w:color w:val="000000"/>
        </w:rPr>
        <w:t>In funzione dei rischi evidenziati saranno utilizzati obbligatoriamente i seguenti DPI, di cui è riportata la descrizione ed i riferimenti normativi:</w:t>
      </w:r>
    </w:p>
    <w:tbl>
      <w:tblPr>
        <w:tblStyle w:val="Grigliatabella"/>
        <w:tblW w:w="0" w:type="auto"/>
        <w:tblLook w:val="04A0"/>
      </w:tblPr>
      <w:tblGrid>
        <w:gridCol w:w="2427"/>
        <w:gridCol w:w="2562"/>
        <w:gridCol w:w="2434"/>
        <w:gridCol w:w="2431"/>
      </w:tblGrid>
      <w:tr w:rsidR="008E4145" w:rsidTr="000D4997">
        <w:tc>
          <w:tcPr>
            <w:tcW w:w="2427" w:type="dxa"/>
            <w:shd w:val="clear" w:color="auto" w:fill="FFC000"/>
          </w:tcPr>
          <w:p w:rsidR="008E4145" w:rsidRPr="008C212C" w:rsidRDefault="008E4145" w:rsidP="000D4997">
            <w:pPr>
              <w:tabs>
                <w:tab w:val="left" w:pos="1350"/>
              </w:tabs>
              <w:jc w:val="center"/>
              <w:rPr>
                <w:b/>
                <w:sz w:val="20"/>
                <w:szCs w:val="20"/>
              </w:rPr>
            </w:pPr>
            <w:r w:rsidRPr="008C212C">
              <w:rPr>
                <w:b/>
                <w:sz w:val="20"/>
                <w:szCs w:val="20"/>
              </w:rPr>
              <w:t>RISCHI  EVIDENZIATI</w:t>
            </w:r>
          </w:p>
        </w:tc>
        <w:tc>
          <w:tcPr>
            <w:tcW w:w="2562" w:type="dxa"/>
            <w:shd w:val="clear" w:color="auto" w:fill="FFC000"/>
          </w:tcPr>
          <w:p w:rsidR="008E4145" w:rsidRDefault="008E4145" w:rsidP="000D4997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DPI</w:t>
            </w:r>
          </w:p>
        </w:tc>
        <w:tc>
          <w:tcPr>
            <w:tcW w:w="2434" w:type="dxa"/>
            <w:shd w:val="clear" w:color="auto" w:fill="FFC000"/>
          </w:tcPr>
          <w:p w:rsidR="008E4145" w:rsidRDefault="008E4145" w:rsidP="000D4997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2431" w:type="dxa"/>
            <w:shd w:val="clear" w:color="auto" w:fill="FFC000"/>
          </w:tcPr>
          <w:p w:rsidR="008E4145" w:rsidRDefault="008E4145" w:rsidP="000D4997">
            <w:pPr>
              <w:tabs>
                <w:tab w:val="left" w:pos="1350"/>
              </w:tabs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  <w:p w:rsidR="008E4145" w:rsidRPr="007D5FE0" w:rsidRDefault="008E4145" w:rsidP="000D4997">
            <w:pPr>
              <w:tabs>
                <w:tab w:val="left" w:pos="135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8E4145" w:rsidTr="000D4997"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8E4145" w:rsidRPr="00EB6770" w:rsidRDefault="008E4145" w:rsidP="000D4997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</w:p>
          <w:p w:rsidR="008E4145" w:rsidRPr="00EB6770" w:rsidRDefault="008E4145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Per protezione</w:t>
            </w:r>
          </w:p>
          <w:p w:rsidR="008E4145" w:rsidRPr="00EB6770" w:rsidRDefault="008E4145" w:rsidP="000D4997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</w:p>
          <w:p w:rsidR="008E4145" w:rsidRPr="00EB6770" w:rsidRDefault="008E4145" w:rsidP="000D4997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</w:p>
          <w:p w:rsidR="008E4145" w:rsidRPr="00EB6770" w:rsidRDefault="008E4145" w:rsidP="000D4997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</w:p>
          <w:p w:rsidR="008E4145" w:rsidRPr="00EB6770" w:rsidRDefault="008E4145" w:rsidP="000D4997">
            <w:pPr>
              <w:tabs>
                <w:tab w:val="left" w:pos="13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</w:tcPr>
          <w:p w:rsidR="008E4145" w:rsidRPr="00EB6770" w:rsidRDefault="008E4145" w:rsidP="000D4997">
            <w:pPr>
              <w:autoSpaceDE w:val="0"/>
              <w:autoSpaceDN w:val="0"/>
              <w:adjustRightInd w:val="0"/>
              <w:rPr>
                <w:rFonts w:cs="Verdana"/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B6770">
              <w:rPr>
                <w:sz w:val="20"/>
                <w:szCs w:val="20"/>
              </w:rPr>
              <w:t xml:space="preserve"> </w:t>
            </w:r>
            <w:r w:rsidRPr="00EB6770">
              <w:rPr>
                <w:rFonts w:cs="Verdana"/>
                <w:b/>
                <w:color w:val="000000"/>
                <w:sz w:val="20"/>
                <w:szCs w:val="20"/>
              </w:rPr>
              <w:t>Tuta di protezione</w:t>
            </w:r>
          </w:p>
          <w:p w:rsidR="008E4145" w:rsidRPr="00EB6770" w:rsidRDefault="008E4145" w:rsidP="000D499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1958"/>
            </w:tblGrid>
            <w:tr w:rsidR="008E4145" w:rsidRPr="00EB6770" w:rsidTr="000D4997">
              <w:trPr>
                <w:trHeight w:val="1520"/>
              </w:trPr>
              <w:tc>
                <w:tcPr>
                  <w:tcW w:w="1958" w:type="dxa"/>
                </w:tcPr>
                <w:p w:rsidR="008E4145" w:rsidRPr="00EB6770" w:rsidRDefault="008E4145" w:rsidP="000D4997">
                  <w:pPr>
                    <w:tabs>
                      <w:tab w:val="left" w:pos="1350"/>
                    </w:tabs>
                    <w:rPr>
                      <w:sz w:val="20"/>
                      <w:szCs w:val="20"/>
                    </w:rPr>
                  </w:pPr>
                  <w:r w:rsidRPr="00EB6770">
                    <w:rPr>
                      <w:sz w:val="20"/>
                      <w:szCs w:val="20"/>
                    </w:rPr>
                    <w:t xml:space="preserve">    </w:t>
                  </w:r>
                  <w:r w:rsidRPr="00EB6770">
                    <w:rPr>
                      <w:sz w:val="20"/>
                      <w:szCs w:val="20"/>
                    </w:rPr>
                    <w:object w:dxaOrig="1515" w:dyaOrig="1710">
                      <v:shape id="_x0000_i1027" type="#_x0000_t75" style="width:76.5pt;height:75.75pt" o:ole="">
                        <v:imagedata r:id="rId11" o:title=""/>
                      </v:shape>
                      <o:OLEObject Type="Embed" ProgID="PBrush" ShapeID="_x0000_i1027" DrawAspect="Content" ObjectID="_1144711677" r:id="rId12"/>
                    </w:object>
                  </w:r>
                </w:p>
              </w:tc>
            </w:tr>
          </w:tbl>
          <w:p w:rsidR="008E4145" w:rsidRPr="00EB6770" w:rsidRDefault="008E4145" w:rsidP="000D4997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:rsidR="008E4145" w:rsidRPr="00EB6770" w:rsidRDefault="008E4145" w:rsidP="000D4997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  <w:p w:rsidR="008E4145" w:rsidRPr="00EB6770" w:rsidRDefault="008E4145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EB6770">
              <w:rPr>
                <w:rFonts w:cs="Verdana"/>
                <w:color w:val="000000"/>
                <w:sz w:val="20"/>
                <w:szCs w:val="20"/>
              </w:rPr>
              <w:t>Da utilizzare nei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B6770">
              <w:rPr>
                <w:rFonts w:cs="Verdana"/>
                <w:color w:val="000000"/>
                <w:sz w:val="20"/>
                <w:szCs w:val="20"/>
              </w:rPr>
              <w:t>luoghi di lavoro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 </w:t>
            </w:r>
            <w:r w:rsidRPr="00EB6770">
              <w:rPr>
                <w:rFonts w:cs="Verdana"/>
                <w:color w:val="000000"/>
                <w:sz w:val="20"/>
                <w:szCs w:val="20"/>
              </w:rPr>
              <w:t>caratterizzati dalla presenza di mat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eriali e/o attrezzi che possono </w:t>
            </w:r>
            <w:r w:rsidRPr="00EB6770">
              <w:rPr>
                <w:rFonts w:cs="Verdana"/>
                <w:color w:val="000000"/>
                <w:sz w:val="20"/>
                <w:szCs w:val="20"/>
              </w:rPr>
              <w:t>causare fenomeni  di abrasione /taglio/ perforazione</w:t>
            </w:r>
          </w:p>
        </w:tc>
        <w:tc>
          <w:tcPr>
            <w:tcW w:w="2431" w:type="dxa"/>
          </w:tcPr>
          <w:p w:rsidR="008E4145" w:rsidRPr="00EB6770" w:rsidRDefault="008E4145" w:rsidP="000D4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Rif</w:t>
            </w:r>
            <w:r w:rsidRPr="00EB6770">
              <w:rPr>
                <w:b/>
                <w:sz w:val="20"/>
                <w:szCs w:val="20"/>
              </w:rPr>
              <w:t xml:space="preserve">  Normativo Art  75-77-79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EB6770">
              <w:rPr>
                <w:b/>
                <w:sz w:val="20"/>
                <w:szCs w:val="20"/>
              </w:rPr>
              <w:t xml:space="preserve"> del D.Lgs. n. 81/08           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8E4145" w:rsidRPr="00EB6770" w:rsidRDefault="008E4145" w:rsidP="000D499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6770">
              <w:rPr>
                <w:b/>
                <w:sz w:val="20"/>
                <w:szCs w:val="20"/>
              </w:rPr>
              <w:t xml:space="preserve">Allegato VIII  punti  3, 4 </w:t>
            </w:r>
            <w:r w:rsidRPr="00EB6770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n.7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B6770">
              <w:rPr>
                <w:b/>
                <w:sz w:val="20"/>
                <w:szCs w:val="20"/>
              </w:rPr>
              <w:t>del D.Lgs. n. 81/08</w:t>
            </w:r>
          </w:p>
          <w:p w:rsidR="008E4145" w:rsidRPr="00EB6770" w:rsidRDefault="008E4145" w:rsidP="000D4997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20"/>
                <w:szCs w:val="20"/>
              </w:rPr>
            </w:pPr>
            <w:r w:rsidRPr="00EB6770">
              <w:rPr>
                <w:rFonts w:cs="Verdana"/>
                <w:b/>
                <w:bCs/>
                <w:color w:val="000000"/>
                <w:sz w:val="20"/>
                <w:szCs w:val="20"/>
              </w:rPr>
              <w:t>UNI EN 340/04</w:t>
            </w:r>
          </w:p>
          <w:p w:rsidR="008E4145" w:rsidRDefault="008E4145" w:rsidP="000D4997">
            <w:pPr>
              <w:autoSpaceDE w:val="0"/>
              <w:autoSpaceDN w:val="0"/>
              <w:adjustRightInd w:val="0"/>
              <w:rPr>
                <w:rFonts w:cs="Verdana"/>
                <w:bCs/>
                <w:i/>
                <w:color w:val="000000"/>
                <w:sz w:val="18"/>
                <w:szCs w:val="18"/>
              </w:rPr>
            </w:pPr>
            <w:r w:rsidRPr="00C71701">
              <w:rPr>
                <w:rFonts w:cs="Verdana"/>
                <w:bCs/>
                <w:i/>
                <w:color w:val="000000"/>
                <w:sz w:val="18"/>
                <w:szCs w:val="18"/>
              </w:rPr>
              <w:t>Indumenti di protezione</w:t>
            </w:r>
          </w:p>
          <w:p w:rsidR="008E4145" w:rsidRPr="007D5FE0" w:rsidRDefault="008E4145" w:rsidP="000D4997">
            <w:pPr>
              <w:rPr>
                <w:b/>
              </w:rPr>
            </w:pPr>
            <w:r>
              <w:rPr>
                <w:rFonts w:cs="Verdana"/>
                <w:bCs/>
                <w:i/>
                <w:color w:val="000000"/>
                <w:sz w:val="18"/>
                <w:szCs w:val="18"/>
              </w:rPr>
              <w:t>Requisiti generali</w:t>
            </w:r>
          </w:p>
        </w:tc>
      </w:tr>
      <w:tr w:rsidR="008E4145" w:rsidTr="000D4997">
        <w:tc>
          <w:tcPr>
            <w:tcW w:w="2427" w:type="dxa"/>
            <w:tcBorders>
              <w:bottom w:val="single" w:sz="4" w:space="0" w:color="auto"/>
            </w:tcBorders>
          </w:tcPr>
          <w:p w:rsidR="008E4145" w:rsidRPr="0019589A" w:rsidRDefault="008E4145" w:rsidP="000D4997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  <w:p w:rsidR="008E4145" w:rsidRPr="0019589A" w:rsidRDefault="008E4145" w:rsidP="000D4997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  <w:p w:rsidR="008E4145" w:rsidRPr="0019589A" w:rsidRDefault="008E4145" w:rsidP="000D4997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19589A">
              <w:rPr>
                <w:sz w:val="20"/>
                <w:szCs w:val="20"/>
              </w:rPr>
              <w:t>Scivolamenti</w:t>
            </w:r>
          </w:p>
          <w:p w:rsidR="008E4145" w:rsidRPr="0019589A" w:rsidRDefault="008E4145" w:rsidP="000D4997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  <w:p w:rsidR="008E4145" w:rsidRPr="0019589A" w:rsidRDefault="008E4145" w:rsidP="000D4997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8E4145" w:rsidRPr="00EB6770" w:rsidRDefault="008E4145" w:rsidP="000D499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</w:rPr>
            </w:pPr>
          </w:p>
          <w:p w:rsidR="008E4145" w:rsidRPr="00EB6770" w:rsidRDefault="008E4145" w:rsidP="000D4997">
            <w:pPr>
              <w:autoSpaceDE w:val="0"/>
              <w:autoSpaceDN w:val="0"/>
              <w:adjustRightInd w:val="0"/>
              <w:rPr>
                <w:rFonts w:cs="Verdana"/>
                <w:b/>
                <w:color w:val="000000"/>
              </w:rPr>
            </w:pPr>
            <w:r w:rsidRPr="00EB6770">
              <w:rPr>
                <w:rFonts w:cs="Verdana"/>
                <w:color w:val="000000"/>
              </w:rPr>
              <w:t xml:space="preserve">             </w:t>
            </w:r>
            <w:r w:rsidRPr="00EB6770">
              <w:rPr>
                <w:rFonts w:cs="Verdana"/>
                <w:b/>
                <w:color w:val="000000"/>
              </w:rPr>
              <w:t>Scarpe</w:t>
            </w:r>
          </w:p>
          <w:p w:rsidR="008E4145" w:rsidRPr="00EB6770" w:rsidRDefault="008E4145" w:rsidP="000D499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b/>
                <w:color w:val="000000"/>
              </w:rPr>
            </w:pPr>
            <w:r w:rsidRPr="00EB6770">
              <w:rPr>
                <w:rFonts w:cs="Verdana"/>
                <w:b/>
                <w:color w:val="000000"/>
              </w:rPr>
              <w:t>antinfortunistiche</w:t>
            </w:r>
          </w:p>
          <w:tbl>
            <w:tblPr>
              <w:tblW w:w="0" w:type="auto"/>
              <w:tblLook w:val="0000"/>
            </w:tblPr>
            <w:tblGrid>
              <w:gridCol w:w="2106"/>
            </w:tblGrid>
            <w:tr w:rsidR="008E4145" w:rsidRPr="00EB6770" w:rsidTr="000D4997">
              <w:trPr>
                <w:trHeight w:val="1605"/>
              </w:trPr>
              <w:tc>
                <w:tcPr>
                  <w:tcW w:w="1830" w:type="dxa"/>
                </w:tcPr>
                <w:p w:rsidR="008E4145" w:rsidRPr="00EB6770" w:rsidRDefault="008E4145" w:rsidP="000D499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rPr>
                      <w:rFonts w:cs="Verdana"/>
                      <w:color w:val="000000"/>
                    </w:rPr>
                  </w:pPr>
                  <w:r w:rsidRPr="00EB6770">
                    <w:object w:dxaOrig="1890" w:dyaOrig="1200">
                      <v:shape id="_x0000_i1028" type="#_x0000_t75" style="width:94.5pt;height:60pt" o:ole="" o:bordertopcolor="this" o:borderbottomcolor="this">
                        <v:imagedata r:id="rId13" o:title=""/>
                      </v:shape>
                      <o:OLEObject Type="Embed" ProgID="PBrush" ShapeID="_x0000_i1028" DrawAspect="Content" ObjectID="_1144711678" r:id="rId14"/>
                    </w:object>
                  </w:r>
                </w:p>
              </w:tc>
            </w:tr>
          </w:tbl>
          <w:p w:rsidR="008E4145" w:rsidRPr="00EB6770" w:rsidRDefault="008E4145" w:rsidP="000D4997">
            <w:pPr>
              <w:tabs>
                <w:tab w:val="left" w:pos="1350"/>
              </w:tabs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8E4145" w:rsidRPr="0019589A" w:rsidRDefault="008E4145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Puntale rinforzato in</w:t>
            </w:r>
          </w:p>
          <w:p w:rsidR="008E4145" w:rsidRPr="0019589A" w:rsidRDefault="008E4145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acciaio contro</w:t>
            </w:r>
          </w:p>
          <w:p w:rsidR="008E4145" w:rsidRPr="0019589A" w:rsidRDefault="008E4145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schiacciamento/abra</w:t>
            </w:r>
          </w:p>
          <w:p w:rsidR="008E4145" w:rsidRPr="0019589A" w:rsidRDefault="008E4145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sioni/perforazione/</w:t>
            </w:r>
          </w:p>
          <w:p w:rsidR="008E4145" w:rsidRPr="0019589A" w:rsidRDefault="008E4145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ferite degli arti</w:t>
            </w:r>
          </w:p>
          <w:p w:rsidR="008E4145" w:rsidRPr="0019589A" w:rsidRDefault="008E4145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inferiori e suola</w:t>
            </w:r>
          </w:p>
          <w:p w:rsidR="008E4145" w:rsidRPr="0019589A" w:rsidRDefault="008E4145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antiscivolo e per</w:t>
            </w:r>
          </w:p>
          <w:p w:rsidR="008E4145" w:rsidRPr="0019589A" w:rsidRDefault="008E4145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salvaguardare la</w:t>
            </w:r>
          </w:p>
          <w:p w:rsidR="008E4145" w:rsidRPr="0019589A" w:rsidRDefault="008E4145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caviglia da distorsioni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8E4145" w:rsidRPr="00EB6770" w:rsidRDefault="008E4145" w:rsidP="000D4997">
            <w:pPr>
              <w:rPr>
                <w:b/>
                <w:sz w:val="20"/>
                <w:szCs w:val="20"/>
              </w:rPr>
            </w:pPr>
            <w:r w:rsidRPr="00EB6770">
              <w:rPr>
                <w:b/>
                <w:sz w:val="20"/>
                <w:szCs w:val="20"/>
              </w:rPr>
              <w:t>Rif Normativo Art  75-77-79    del D.Lgs. n. 81/08</w:t>
            </w:r>
            <w:r w:rsidRPr="00EB6770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6770">
              <w:rPr>
                <w:b/>
                <w:sz w:val="20"/>
                <w:szCs w:val="20"/>
              </w:rPr>
              <w:t xml:space="preserve">           </w:t>
            </w:r>
          </w:p>
          <w:p w:rsidR="008E4145" w:rsidRPr="00C71701" w:rsidRDefault="008E4145" w:rsidP="000D499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EB6770">
              <w:rPr>
                <w:b/>
                <w:sz w:val="20"/>
                <w:szCs w:val="20"/>
              </w:rPr>
              <w:t xml:space="preserve">Allegato VIII  punti  3, 4 </w:t>
            </w:r>
            <w:r w:rsidRPr="00EB6770">
              <w:rPr>
                <w:rFonts w:cs="Verdana"/>
                <w:b/>
                <w:bCs/>
                <w:color w:val="000000"/>
                <w:sz w:val="20"/>
                <w:szCs w:val="20"/>
              </w:rPr>
              <w:t>n.</w:t>
            </w:r>
            <w:r w:rsidRPr="00EB6770">
              <w:rPr>
                <w:b/>
                <w:sz w:val="20"/>
                <w:szCs w:val="20"/>
              </w:rPr>
              <w:t>6  del D.Lgs. n. 81/08</w:t>
            </w:r>
            <w:r w:rsidRPr="00EB6770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 EN 344/345 (1992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)</w:t>
            </w:r>
          </w:p>
          <w:p w:rsidR="008E4145" w:rsidRPr="00D464AD" w:rsidRDefault="008E4145" w:rsidP="000D499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C71701">
              <w:rPr>
                <w:i/>
                <w:sz w:val="18"/>
                <w:szCs w:val="18"/>
              </w:rPr>
              <w:t>Requisiti e metodi di prova per calzature di</w:t>
            </w:r>
            <w:r>
              <w:rPr>
                <w:i/>
                <w:sz w:val="18"/>
                <w:szCs w:val="18"/>
              </w:rPr>
              <w:t xml:space="preserve">  </w:t>
            </w:r>
            <w:r w:rsidRPr="00C71701">
              <w:rPr>
                <w:i/>
                <w:sz w:val="18"/>
                <w:szCs w:val="18"/>
              </w:rPr>
              <w:t>sicurezza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C71701">
              <w:rPr>
                <w:i/>
                <w:sz w:val="18"/>
                <w:szCs w:val="18"/>
              </w:rPr>
              <w:t>,protettive e occupazionali per uso professionale</w:t>
            </w:r>
          </w:p>
        </w:tc>
      </w:tr>
      <w:tr w:rsidR="008E4145" w:rsidRPr="00D464AD" w:rsidTr="000D4997">
        <w:trPr>
          <w:trHeight w:val="18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145" w:rsidRPr="0019589A" w:rsidRDefault="008E4145" w:rsidP="000D4997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45" w:rsidRPr="00FF4823" w:rsidRDefault="008E4145" w:rsidP="000D4997">
            <w:pPr>
              <w:pStyle w:val="Nessunaspaziatura"/>
            </w:pPr>
          </w:p>
          <w:p w:rsidR="008E4145" w:rsidRPr="00FF4823" w:rsidRDefault="008E4145" w:rsidP="000D4997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color w:val="000000"/>
              </w:rPr>
            </w:pPr>
            <w:r w:rsidRPr="00FF4823">
              <w:rPr>
                <w:rFonts w:cs="Verdana"/>
                <w:color w:val="000000"/>
              </w:rPr>
              <w:t xml:space="preserve">                                                  </w:t>
            </w:r>
            <w:r w:rsidRPr="00FF4823">
              <w:rPr>
                <w:rFonts w:cs="Verdana"/>
                <w:b/>
                <w:color w:val="000000"/>
              </w:rPr>
              <w:t>Casco protettivo</w:t>
            </w:r>
          </w:p>
          <w:tbl>
            <w:tblPr>
              <w:tblW w:w="0" w:type="auto"/>
              <w:tblLook w:val="04A0"/>
            </w:tblPr>
            <w:tblGrid>
              <w:gridCol w:w="1958"/>
            </w:tblGrid>
            <w:tr w:rsidR="008E4145" w:rsidRPr="00FF4823" w:rsidTr="000D4997">
              <w:trPr>
                <w:trHeight w:val="1520"/>
              </w:trPr>
              <w:tc>
                <w:tcPr>
                  <w:tcW w:w="1958" w:type="dxa"/>
                </w:tcPr>
                <w:p w:rsidR="008E4145" w:rsidRPr="00FF4823" w:rsidRDefault="008E4145" w:rsidP="000D4997">
                  <w:pPr>
                    <w:tabs>
                      <w:tab w:val="left" w:pos="1350"/>
                    </w:tabs>
                  </w:pPr>
                  <w:r w:rsidRPr="00FF4823">
                    <w:t xml:space="preserve">    </w:t>
                  </w:r>
                  <w:r w:rsidRPr="00FF4823">
                    <w:object w:dxaOrig="1500" w:dyaOrig="1500">
                      <v:shape id="_x0000_i1029" type="#_x0000_t75" style="width:75pt;height:75pt" o:ole="">
                        <v:imagedata r:id="rId15" o:title=""/>
                      </v:shape>
                      <o:OLEObject Type="Embed" ProgID="PBrush" ShapeID="_x0000_i1029" DrawAspect="Content" ObjectID="_1144711679" r:id="rId16"/>
                    </w:object>
                  </w:r>
                  <w:r>
                    <w:t xml:space="preserve">   </w:t>
                  </w:r>
                </w:p>
              </w:tc>
            </w:tr>
          </w:tbl>
          <w:p w:rsidR="008E4145" w:rsidRPr="00FF4823" w:rsidRDefault="008E4145" w:rsidP="000D4997">
            <w:pPr>
              <w:tabs>
                <w:tab w:val="left" w:pos="1350"/>
              </w:tabs>
            </w:pPr>
            <w: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45" w:rsidRPr="0019589A" w:rsidRDefault="008E4145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</w:p>
          <w:p w:rsidR="008E4145" w:rsidRPr="0019589A" w:rsidRDefault="008E4145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 xml:space="preserve">Dispositivo utile a proteggere dal rischio di offesa al capo per caduta di materiale dall’alto o comunque per contatti con elementi pericolosi                       </w:t>
            </w:r>
          </w:p>
          <w:p w:rsidR="008E4145" w:rsidRPr="0019589A" w:rsidRDefault="008E4145" w:rsidP="000D4997">
            <w:pPr>
              <w:jc w:val="right"/>
              <w:rPr>
                <w:rFonts w:cs="Verdana"/>
                <w:sz w:val="20"/>
                <w:szCs w:val="20"/>
              </w:rPr>
            </w:pPr>
            <w:r w:rsidRPr="0019589A">
              <w:rPr>
                <w:rFonts w:cs="Verdana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45" w:rsidRPr="00770002" w:rsidRDefault="008E4145" w:rsidP="000D4997">
            <w:pPr>
              <w:rPr>
                <w:b/>
                <w:sz w:val="18"/>
                <w:szCs w:val="18"/>
              </w:rPr>
            </w:pPr>
          </w:p>
          <w:p w:rsidR="008E4145" w:rsidRPr="00770002" w:rsidRDefault="008E4145" w:rsidP="000D49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Rif</w:t>
            </w:r>
            <w:r w:rsidRPr="00770002">
              <w:rPr>
                <w:b/>
                <w:sz w:val="18"/>
                <w:szCs w:val="18"/>
              </w:rPr>
              <w:t xml:space="preserve">  Normativo Art  7</w:t>
            </w:r>
            <w:r>
              <w:rPr>
                <w:b/>
                <w:sz w:val="18"/>
                <w:szCs w:val="18"/>
              </w:rPr>
              <w:t xml:space="preserve">5-77-79     </w:t>
            </w:r>
            <w:r w:rsidRPr="00770002">
              <w:rPr>
                <w:b/>
                <w:sz w:val="18"/>
                <w:szCs w:val="18"/>
              </w:rPr>
              <w:t>de</w:t>
            </w:r>
            <w:r>
              <w:rPr>
                <w:b/>
                <w:sz w:val="18"/>
                <w:szCs w:val="18"/>
              </w:rPr>
              <w:t xml:space="preserve">l D.Lgs. n. 81/08              </w:t>
            </w:r>
          </w:p>
          <w:p w:rsidR="008E4145" w:rsidRPr="00770002" w:rsidRDefault="008E4145" w:rsidP="000D499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70002">
              <w:rPr>
                <w:b/>
                <w:sz w:val="18"/>
                <w:szCs w:val="18"/>
              </w:rPr>
              <w:t xml:space="preserve">Allegato VIII  punti  3, 4 </w:t>
            </w:r>
            <w:r w:rsidRPr="00770002">
              <w:rPr>
                <w:rFonts w:cs="Verdana"/>
                <w:b/>
                <w:bCs/>
                <w:color w:val="000000"/>
                <w:sz w:val="18"/>
                <w:szCs w:val="18"/>
              </w:rPr>
              <w:t xml:space="preserve">n.1 </w:t>
            </w:r>
            <w:r w:rsidRPr="00770002">
              <w:rPr>
                <w:b/>
                <w:sz w:val="18"/>
                <w:szCs w:val="18"/>
              </w:rPr>
              <w:t xml:space="preserve"> </w:t>
            </w:r>
          </w:p>
          <w:p w:rsidR="008E4145" w:rsidRPr="00770002" w:rsidRDefault="008E4145" w:rsidP="000D4997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 w:rsidRPr="00770002">
              <w:rPr>
                <w:b/>
                <w:sz w:val="18"/>
                <w:szCs w:val="18"/>
              </w:rPr>
              <w:t>del D.Lgs. n. 81/08</w:t>
            </w:r>
          </w:p>
          <w:p w:rsidR="008E4145" w:rsidRPr="00770002" w:rsidRDefault="008E4145" w:rsidP="000D4997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18"/>
                <w:szCs w:val="18"/>
              </w:rPr>
            </w:pPr>
            <w:r w:rsidRPr="00770002">
              <w:rPr>
                <w:rFonts w:cs="Verdana"/>
                <w:b/>
                <w:bCs/>
                <w:color w:val="000000"/>
                <w:sz w:val="18"/>
                <w:szCs w:val="18"/>
              </w:rPr>
              <w:t>UNI EN 11114 -2004</w:t>
            </w:r>
          </w:p>
          <w:p w:rsidR="008E4145" w:rsidRDefault="008E4145" w:rsidP="000D4997">
            <w:pPr>
              <w:autoSpaceDE w:val="0"/>
              <w:autoSpaceDN w:val="0"/>
              <w:adjustRightInd w:val="0"/>
              <w:rPr>
                <w:rFonts w:cs="Verdana"/>
                <w:bCs/>
                <w:i/>
                <w:color w:val="000000"/>
                <w:sz w:val="18"/>
                <w:szCs w:val="18"/>
              </w:rPr>
            </w:pPr>
            <w:r w:rsidRPr="00770002">
              <w:rPr>
                <w:rFonts w:cs="Verdana"/>
                <w:bCs/>
                <w:i/>
                <w:color w:val="000000"/>
                <w:sz w:val="18"/>
                <w:szCs w:val="18"/>
              </w:rPr>
              <w:t>Elmetti di protezione Guida per la selezione</w:t>
            </w:r>
          </w:p>
          <w:p w:rsidR="008E4145" w:rsidRDefault="008E4145" w:rsidP="000D4997">
            <w:pPr>
              <w:rPr>
                <w:rFonts w:cs="Verdana"/>
                <w:sz w:val="18"/>
                <w:szCs w:val="18"/>
              </w:rPr>
            </w:pPr>
          </w:p>
          <w:p w:rsidR="008E4145" w:rsidRDefault="008E4145" w:rsidP="000D4997">
            <w:pPr>
              <w:rPr>
                <w:rFonts w:cs="Verdana"/>
                <w:sz w:val="18"/>
                <w:szCs w:val="18"/>
              </w:rPr>
            </w:pPr>
          </w:p>
          <w:p w:rsidR="008E4145" w:rsidRDefault="008E4145" w:rsidP="000D4997">
            <w:pPr>
              <w:rPr>
                <w:rFonts w:cs="Verdana"/>
                <w:sz w:val="18"/>
                <w:szCs w:val="18"/>
              </w:rPr>
            </w:pPr>
          </w:p>
          <w:p w:rsidR="008E4145" w:rsidRPr="00320895" w:rsidRDefault="008E4145" w:rsidP="000D4997">
            <w:pPr>
              <w:jc w:val="center"/>
              <w:rPr>
                <w:rFonts w:cs="Verdana"/>
                <w:sz w:val="18"/>
                <w:szCs w:val="18"/>
              </w:rPr>
            </w:pPr>
          </w:p>
        </w:tc>
      </w:tr>
      <w:tr w:rsidR="008E4145" w:rsidRPr="00D464AD" w:rsidTr="000D4997">
        <w:trPr>
          <w:trHeight w:val="2670"/>
        </w:trPr>
        <w:tc>
          <w:tcPr>
            <w:tcW w:w="2427" w:type="dxa"/>
            <w:tcBorders>
              <w:top w:val="nil"/>
              <w:right w:val="single" w:sz="4" w:space="0" w:color="auto"/>
            </w:tcBorders>
          </w:tcPr>
          <w:p w:rsidR="008E4145" w:rsidRPr="0019589A" w:rsidRDefault="008E4145" w:rsidP="000D4997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  <w:p w:rsidR="008E4145" w:rsidRPr="0019589A" w:rsidRDefault="008E4145" w:rsidP="000D4997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19589A">
              <w:rPr>
                <w:sz w:val="20"/>
                <w:szCs w:val="20"/>
              </w:rPr>
              <w:t>Caduta di materiali  dall’alto</w:t>
            </w: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45" w:rsidRPr="00FF4823" w:rsidRDefault="008E4145" w:rsidP="000D499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45" w:rsidRPr="00FF4823" w:rsidRDefault="008E4145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45" w:rsidRPr="007D5FE0" w:rsidRDefault="008E4145" w:rsidP="000D4997">
            <w:pPr>
              <w:rPr>
                <w:b/>
              </w:rPr>
            </w:pPr>
          </w:p>
        </w:tc>
      </w:tr>
      <w:tr w:rsidR="008E4145" w:rsidRPr="00D464AD" w:rsidTr="000D4997">
        <w:tc>
          <w:tcPr>
            <w:tcW w:w="2427" w:type="dxa"/>
          </w:tcPr>
          <w:p w:rsidR="008E4145" w:rsidRPr="00FF4823" w:rsidRDefault="008E4145" w:rsidP="000D4997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</w:rPr>
            </w:pPr>
          </w:p>
          <w:p w:rsidR="008E4145" w:rsidRPr="0019589A" w:rsidRDefault="008E4145" w:rsidP="000D4997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Lesioni per contatto</w:t>
            </w:r>
          </w:p>
          <w:p w:rsidR="008E4145" w:rsidRPr="0019589A" w:rsidRDefault="008E4145" w:rsidP="000D4997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con organi mobili</w:t>
            </w:r>
          </w:p>
          <w:p w:rsidR="008E4145" w:rsidRPr="0019589A" w:rsidRDefault="008E4145" w:rsidP="000D4997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durante le lavorazioni</w:t>
            </w:r>
          </w:p>
          <w:p w:rsidR="008E4145" w:rsidRPr="0019589A" w:rsidRDefault="008E4145" w:rsidP="000D4997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e gli interventi di</w:t>
            </w:r>
          </w:p>
          <w:p w:rsidR="008E4145" w:rsidRPr="00FF4823" w:rsidRDefault="008E4145" w:rsidP="000D4997">
            <w:pPr>
              <w:tabs>
                <w:tab w:val="left" w:pos="1350"/>
              </w:tabs>
              <w:jc w:val="center"/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manutenzione con attrezzi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8E4145" w:rsidRPr="00FF4823" w:rsidRDefault="008E4145" w:rsidP="000D499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</w:rPr>
            </w:pPr>
            <w:r w:rsidRPr="00FF4823">
              <w:rPr>
                <w:rFonts w:cs="Verdana"/>
                <w:color w:val="000000"/>
              </w:rPr>
              <w:t xml:space="preserve"> </w:t>
            </w:r>
          </w:p>
          <w:p w:rsidR="008E4145" w:rsidRPr="00FF4823" w:rsidRDefault="008E4145" w:rsidP="000D499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b/>
                <w:color w:val="000000"/>
              </w:rPr>
            </w:pPr>
            <w:r w:rsidRPr="00FF4823">
              <w:rPr>
                <w:rFonts w:cs="Verdana"/>
                <w:color w:val="000000"/>
              </w:rPr>
              <w:t xml:space="preserve">   </w:t>
            </w:r>
            <w:r w:rsidRPr="00FF4823">
              <w:rPr>
                <w:rFonts w:cs="Verdana"/>
                <w:b/>
                <w:color w:val="000000"/>
              </w:rPr>
              <w:t>Guanti</w:t>
            </w:r>
          </w:p>
          <w:tbl>
            <w:tblPr>
              <w:tblW w:w="0" w:type="auto"/>
              <w:tblLook w:val="0060"/>
            </w:tblPr>
            <w:tblGrid>
              <w:gridCol w:w="2235"/>
            </w:tblGrid>
            <w:tr w:rsidR="008E4145" w:rsidRPr="00FF4823" w:rsidTr="000D4997">
              <w:trPr>
                <w:trHeight w:val="1725"/>
              </w:trPr>
              <w:tc>
                <w:tcPr>
                  <w:tcW w:w="2235" w:type="dxa"/>
                </w:tcPr>
                <w:p w:rsidR="008E4145" w:rsidRPr="00FF4823" w:rsidRDefault="008E4145" w:rsidP="000D499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rPr>
                      <w:rFonts w:cs="Verdana"/>
                      <w:color w:val="000000"/>
                    </w:rPr>
                  </w:pPr>
                  <w:r w:rsidRPr="00FF4823">
                    <w:object w:dxaOrig="1185" w:dyaOrig="1365">
                      <v:shape id="_x0000_i1030" type="#_x0000_t75" style="width:67.5pt;height:90pt" o:ole="">
                        <v:imagedata r:id="rId17" o:title=""/>
                      </v:shape>
                      <o:OLEObject Type="Embed" ProgID="PBrush" ShapeID="_x0000_i1030" DrawAspect="Content" ObjectID="_1144711680" r:id="rId18"/>
                    </w:object>
                  </w:r>
                </w:p>
              </w:tc>
            </w:tr>
          </w:tbl>
          <w:p w:rsidR="008E4145" w:rsidRPr="00FF4823" w:rsidRDefault="008E4145" w:rsidP="000D499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cs="Verdana"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8E4145" w:rsidRPr="0019589A" w:rsidRDefault="008E4145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Da utilizzare nei</w:t>
            </w:r>
          </w:p>
          <w:p w:rsidR="008E4145" w:rsidRPr="0019589A" w:rsidRDefault="008E4145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luoghi di lavoro caratterizzati dalla</w:t>
            </w:r>
          </w:p>
          <w:p w:rsidR="008E4145" w:rsidRPr="0019589A" w:rsidRDefault="008E4145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presenza di materiali e/o attrezzi che possono causare fenomeni di</w:t>
            </w:r>
          </w:p>
          <w:p w:rsidR="008E4145" w:rsidRPr="0019589A" w:rsidRDefault="008E4145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20"/>
                <w:szCs w:val="2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abrasione/taglio/perfo_</w:t>
            </w:r>
          </w:p>
          <w:p w:rsidR="008E4145" w:rsidRPr="00FF4823" w:rsidRDefault="008E4145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  <w:r w:rsidRPr="0019589A">
              <w:rPr>
                <w:rFonts w:cs="Verdana"/>
                <w:color w:val="000000"/>
                <w:sz w:val="20"/>
                <w:szCs w:val="20"/>
              </w:rPr>
              <w:t>razione delle mani</w:t>
            </w:r>
          </w:p>
          <w:p w:rsidR="008E4145" w:rsidRPr="00FF4823" w:rsidRDefault="008E4145" w:rsidP="000D4997">
            <w:pPr>
              <w:autoSpaceDE w:val="0"/>
              <w:autoSpaceDN w:val="0"/>
              <w:adjustRightInd w:val="0"/>
              <w:rPr>
                <w:rFonts w:cs="Verdana"/>
                <w:color w:val="000000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8E4145" w:rsidRPr="00FF4823" w:rsidRDefault="008E4145" w:rsidP="000D4997">
            <w:pPr>
              <w:rPr>
                <w:b/>
                <w:sz w:val="20"/>
                <w:szCs w:val="20"/>
              </w:rPr>
            </w:pPr>
            <w:r w:rsidRPr="00FF4823">
              <w:rPr>
                <w:b/>
                <w:sz w:val="20"/>
                <w:szCs w:val="20"/>
              </w:rPr>
              <w:t xml:space="preserve">Rif  Normativo Art  75-77-79     del D.Lgs. n. 81/08          </w:t>
            </w:r>
          </w:p>
          <w:p w:rsidR="008E4145" w:rsidRPr="00FF4823" w:rsidRDefault="008E4145" w:rsidP="000D4997">
            <w:pPr>
              <w:autoSpaceDE w:val="0"/>
              <w:autoSpaceDN w:val="0"/>
              <w:adjustRightInd w:val="0"/>
              <w:rPr>
                <w:rFonts w:cs="Verdana"/>
                <w:b/>
                <w:bCs/>
                <w:color w:val="000000"/>
                <w:sz w:val="20"/>
                <w:szCs w:val="20"/>
              </w:rPr>
            </w:pPr>
            <w:r w:rsidRPr="00FF4823">
              <w:rPr>
                <w:b/>
                <w:sz w:val="20"/>
                <w:szCs w:val="20"/>
              </w:rPr>
              <w:t xml:space="preserve">Allegato VIII  punti  3, 4 </w:t>
            </w:r>
            <w:r w:rsidRPr="00FF4823">
              <w:rPr>
                <w:rFonts w:cs="Verdana"/>
                <w:b/>
                <w:bCs/>
                <w:color w:val="000000"/>
                <w:sz w:val="20"/>
                <w:szCs w:val="20"/>
              </w:rPr>
              <w:t>n.5</w:t>
            </w:r>
            <w:r w:rsidRPr="00FF4823">
              <w:rPr>
                <w:b/>
                <w:sz w:val="20"/>
                <w:szCs w:val="20"/>
              </w:rPr>
              <w:t xml:space="preserve">  del D.Lgs. n. 81/08</w:t>
            </w:r>
          </w:p>
          <w:p w:rsidR="008E4145" w:rsidRPr="00FF4823" w:rsidRDefault="008E4145" w:rsidP="000D4997">
            <w:pPr>
              <w:rPr>
                <w:b/>
                <w:sz w:val="20"/>
                <w:szCs w:val="20"/>
              </w:rPr>
            </w:pPr>
            <w:r w:rsidRPr="00FF4823">
              <w:rPr>
                <w:rFonts w:cs="Verdana"/>
                <w:b/>
                <w:bCs/>
                <w:color w:val="000000"/>
                <w:sz w:val="20"/>
                <w:szCs w:val="20"/>
              </w:rPr>
              <w:t>UNI EN 388/2004</w:t>
            </w:r>
          </w:p>
          <w:p w:rsidR="008E4145" w:rsidRPr="00C71701" w:rsidRDefault="008E4145" w:rsidP="000D4997">
            <w:pPr>
              <w:rPr>
                <w:i/>
                <w:sz w:val="18"/>
                <w:szCs w:val="18"/>
              </w:rPr>
            </w:pPr>
            <w:r w:rsidRPr="00C71701">
              <w:rPr>
                <w:i/>
                <w:sz w:val="18"/>
                <w:szCs w:val="18"/>
              </w:rPr>
              <w:t>Guanti di protezione rischi meccanici</w:t>
            </w:r>
          </w:p>
        </w:tc>
      </w:tr>
    </w:tbl>
    <w:p w:rsidR="008E4145" w:rsidRDefault="008E4145" w:rsidP="008E4145"/>
    <w:p w:rsidR="008E4145" w:rsidRPr="000146EC" w:rsidRDefault="008E4145" w:rsidP="008E4145"/>
    <w:p w:rsidR="008E4145" w:rsidRPr="000146EC" w:rsidRDefault="008E4145" w:rsidP="008E4145"/>
    <w:p w:rsidR="008E4145" w:rsidRPr="000146EC" w:rsidRDefault="008E4145" w:rsidP="008E4145"/>
    <w:p w:rsidR="008E4145" w:rsidRPr="000146EC" w:rsidRDefault="008E4145" w:rsidP="008E4145"/>
    <w:p w:rsidR="008E4145" w:rsidRPr="000146EC" w:rsidRDefault="008E4145" w:rsidP="008E4145"/>
    <w:p w:rsidR="00CC09BD" w:rsidRDefault="00CC09BD"/>
    <w:sectPr w:rsidR="00CC09BD" w:rsidSect="003325EB"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6AC" w:rsidRDefault="001776AC" w:rsidP="00043AD6">
      <w:pPr>
        <w:spacing w:after="0" w:line="240" w:lineRule="auto"/>
      </w:pPr>
      <w:r>
        <w:separator/>
      </w:r>
    </w:p>
  </w:endnote>
  <w:endnote w:type="continuationSeparator" w:id="1">
    <w:p w:rsidR="001776AC" w:rsidRDefault="001776AC" w:rsidP="0004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TE15ED6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C25C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TE100896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AD6" w:rsidRDefault="00043AD6" w:rsidP="00043AD6">
    <w:pPr>
      <w:pStyle w:val="Pidipagina"/>
    </w:pPr>
    <w:r>
      <w:rPr>
        <w:color w:val="595959"/>
        <w:sz w:val="16"/>
        <w:szCs w:val="16"/>
      </w:rPr>
      <w:t>P.O.S</w:t>
    </w:r>
    <w:r>
      <w:t xml:space="preserve">.  </w:t>
    </w:r>
    <w:r>
      <w:rPr>
        <w:i/>
        <w:color w:val="595959"/>
        <w:sz w:val="16"/>
        <w:szCs w:val="16"/>
      </w:rPr>
      <w:t>Impresa Edile</w:t>
    </w:r>
    <w:r w:rsidR="00B10F3E">
      <w:rPr>
        <w:i/>
        <w:color w:val="595959"/>
        <w:sz w:val="16"/>
        <w:szCs w:val="16"/>
      </w:rPr>
      <w:t xml:space="preserve">  Costruzioni Generali S.a.s. De Riggi Maria Grazia                                                                  Sicurezza nell’uso di ponti su cavalletti</w:t>
    </w:r>
    <w:r>
      <w:t xml:space="preserve"> </w:t>
    </w:r>
  </w:p>
  <w:p w:rsidR="00043AD6" w:rsidRDefault="00043AD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6AC" w:rsidRDefault="001776AC" w:rsidP="00043AD6">
      <w:pPr>
        <w:spacing w:after="0" w:line="240" w:lineRule="auto"/>
      </w:pPr>
      <w:r>
        <w:separator/>
      </w:r>
    </w:p>
  </w:footnote>
  <w:footnote w:type="continuationSeparator" w:id="1">
    <w:p w:rsidR="001776AC" w:rsidRDefault="001776AC" w:rsidP="00043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0EC26DF9"/>
    <w:multiLevelType w:val="hybridMultilevel"/>
    <w:tmpl w:val="09CAFF92"/>
    <w:lvl w:ilvl="0" w:tplc="079671F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8B3CFF3E">
      <w:numFmt w:val="bullet"/>
      <w:lvlText w:val="-"/>
      <w:lvlJc w:val="left"/>
      <w:pPr>
        <w:ind w:left="1222" w:hanging="360"/>
      </w:pPr>
      <w:rPr>
        <w:rFonts w:ascii="Calibri" w:eastAsiaTheme="minorEastAsia" w:hAnsi="Calibri" w:cs="Courier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E040930"/>
    <w:multiLevelType w:val="hybridMultilevel"/>
    <w:tmpl w:val="6C240924"/>
    <w:lvl w:ilvl="0" w:tplc="E0D2788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  <w:color w:val="auto"/>
        <w:sz w:val="20"/>
        <w:szCs w:val="20"/>
      </w:rPr>
    </w:lvl>
    <w:lvl w:ilvl="1" w:tplc="E0D278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6A20201D"/>
    <w:multiLevelType w:val="hybridMultilevel"/>
    <w:tmpl w:val="4EF6C7EA"/>
    <w:lvl w:ilvl="0" w:tplc="079671F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4145"/>
    <w:rsid w:val="00036DA6"/>
    <w:rsid w:val="00043AD6"/>
    <w:rsid w:val="000473D4"/>
    <w:rsid w:val="00100E6C"/>
    <w:rsid w:val="001776AC"/>
    <w:rsid w:val="003325EB"/>
    <w:rsid w:val="00573735"/>
    <w:rsid w:val="00783461"/>
    <w:rsid w:val="00862ECF"/>
    <w:rsid w:val="008E4145"/>
    <w:rsid w:val="00A94E2B"/>
    <w:rsid w:val="00B10F3E"/>
    <w:rsid w:val="00CC09BD"/>
    <w:rsid w:val="00D5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5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E41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E4145"/>
    <w:pPr>
      <w:ind w:left="720"/>
      <w:contextualSpacing/>
    </w:pPr>
    <w:rPr>
      <w:rFonts w:eastAsiaTheme="minorHAnsi"/>
      <w:lang w:eastAsia="en-US"/>
    </w:rPr>
  </w:style>
  <w:style w:type="paragraph" w:styleId="Nessunaspaziatura">
    <w:name w:val="No Spacing"/>
    <w:uiPriority w:val="1"/>
    <w:qFormat/>
    <w:rsid w:val="008E4145"/>
    <w:pPr>
      <w:spacing w:after="0" w:line="240" w:lineRule="auto"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3A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3AD6"/>
  </w:style>
  <w:style w:type="paragraph" w:styleId="Pidipagina">
    <w:name w:val="footer"/>
    <w:basedOn w:val="Normale"/>
    <w:link w:val="PidipaginaCarattere"/>
    <w:uiPriority w:val="99"/>
    <w:semiHidden/>
    <w:unhideWhenUsed/>
    <w:rsid w:val="00043A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3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1336</Words>
  <Characters>7616</Characters>
  <Application>Microsoft Office Word</Application>
  <DocSecurity>0</DocSecurity>
  <Lines>63</Lines>
  <Paragraphs>17</Paragraphs>
  <ScaleCrop>false</ScaleCrop>
  <Company>Privato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2009-04-02T17:55:00Z</dcterms:created>
  <dcterms:modified xsi:type="dcterms:W3CDTF">2004-04-29T00:41:00Z</dcterms:modified>
</cp:coreProperties>
</file>